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B324" w14:textId="219FFB54" w:rsidR="0091086E" w:rsidRPr="0091086E" w:rsidRDefault="0091086E" w:rsidP="000F69FB">
      <w:pPr>
        <w:rPr>
          <w:b/>
        </w:rPr>
      </w:pPr>
      <w:r w:rsidRPr="0091086E">
        <w:rPr>
          <w:b/>
        </w:rPr>
        <w:t>Hankedokument</w:t>
      </w:r>
      <w:r w:rsidR="009C5984">
        <w:rPr>
          <w:b/>
        </w:rPr>
        <w:t>/pakkumuse esitamise ettepanek</w:t>
      </w:r>
    </w:p>
    <w:p w14:paraId="42A97DBB" w14:textId="77777777" w:rsidR="0091086E" w:rsidRDefault="0091086E" w:rsidP="000F69FB"/>
    <w:p w14:paraId="70475AFB" w14:textId="4CC62EDC" w:rsidR="000F69FB" w:rsidRPr="0091086E" w:rsidRDefault="0091086E" w:rsidP="000F69FB">
      <w:pPr>
        <w:rPr>
          <w:b/>
        </w:rPr>
      </w:pPr>
      <w:r>
        <w:t xml:space="preserve">Hankija: </w:t>
      </w:r>
      <w:r w:rsidR="000F69FB" w:rsidRPr="0091086E">
        <w:rPr>
          <w:b/>
        </w:rPr>
        <w:t xml:space="preserve">Aktsiaselts </w:t>
      </w:r>
      <w:r w:rsidR="000E2F27">
        <w:rPr>
          <w:b/>
        </w:rPr>
        <w:t>Järvamaa</w:t>
      </w:r>
      <w:r w:rsidR="000F69FB" w:rsidRPr="0091086E">
        <w:rPr>
          <w:b/>
        </w:rPr>
        <w:t xml:space="preserve"> Haigla</w:t>
      </w:r>
    </w:p>
    <w:p w14:paraId="7C7A32C3" w14:textId="2D09AD52" w:rsidR="000F69FB" w:rsidRPr="0091086E" w:rsidRDefault="0091086E" w:rsidP="000F69FB">
      <w:pPr>
        <w:rPr>
          <w:b/>
        </w:rPr>
      </w:pPr>
      <w:r>
        <w:t xml:space="preserve">Hanke nimetus: </w:t>
      </w:r>
      <w:r w:rsidR="000F69FB" w:rsidRPr="0091086E">
        <w:rPr>
          <w:b/>
        </w:rPr>
        <w:t>„</w:t>
      </w:r>
      <w:r w:rsidR="007244CA">
        <w:rPr>
          <w:b/>
        </w:rPr>
        <w:t xml:space="preserve">Vaatevälja uuringu </w:t>
      </w:r>
      <w:r w:rsidR="00075286">
        <w:rPr>
          <w:b/>
        </w:rPr>
        <w:t>sead</w:t>
      </w:r>
      <w:r w:rsidR="007244CA">
        <w:rPr>
          <w:b/>
        </w:rPr>
        <w:t>m</w:t>
      </w:r>
      <w:r w:rsidR="00075286">
        <w:rPr>
          <w:b/>
        </w:rPr>
        <w:t>e</w:t>
      </w:r>
      <w:r w:rsidR="00154470" w:rsidRPr="00154470">
        <w:rPr>
          <w:b/>
          <w:lang w:bidi="en-US"/>
        </w:rPr>
        <w:t xml:space="preserve"> </w:t>
      </w:r>
      <w:r w:rsidR="000A115D" w:rsidRPr="000A115D">
        <w:rPr>
          <w:b/>
        </w:rPr>
        <w:t>ostmine</w:t>
      </w:r>
      <w:r w:rsidR="000F69FB" w:rsidRPr="0091086E">
        <w:rPr>
          <w:b/>
        </w:rPr>
        <w:t>“</w:t>
      </w:r>
    </w:p>
    <w:p w14:paraId="76FA4C1C" w14:textId="77777777" w:rsidR="000F69FB" w:rsidRDefault="000F69FB" w:rsidP="000F69FB">
      <w:pPr>
        <w:tabs>
          <w:tab w:val="left" w:pos="7938"/>
        </w:tabs>
      </w:pPr>
    </w:p>
    <w:p w14:paraId="7B46D650" w14:textId="66E6518D" w:rsidR="000F69FB" w:rsidRDefault="00730447" w:rsidP="000F69FB">
      <w:pPr>
        <w:tabs>
          <w:tab w:val="left" w:pos="7938"/>
        </w:tabs>
        <w:jc w:val="both"/>
        <w:rPr>
          <w:b/>
          <w:bCs/>
        </w:rPr>
      </w:pPr>
      <w:r>
        <w:rPr>
          <w:b/>
          <w:bCs/>
        </w:rPr>
        <w:t>Hanke tehnilin</w:t>
      </w:r>
      <w:r w:rsidR="000F69FB">
        <w:rPr>
          <w:b/>
          <w:bCs/>
        </w:rPr>
        <w:t xml:space="preserve">e </w:t>
      </w:r>
      <w:r>
        <w:rPr>
          <w:b/>
          <w:bCs/>
        </w:rPr>
        <w:t>kirjeldus</w:t>
      </w:r>
      <w:r w:rsidR="000F69FB">
        <w:rPr>
          <w:b/>
          <w:bCs/>
        </w:rPr>
        <w:t xml:space="preserve">, pakkumusevorm ja Pakkuja </w:t>
      </w:r>
      <w:r w:rsidR="000F69FB" w:rsidRPr="005870D4">
        <w:rPr>
          <w:b/>
        </w:rPr>
        <w:t>.......................................</w:t>
      </w:r>
      <w:r w:rsidR="000F69FB">
        <w:rPr>
          <w:b/>
        </w:rPr>
        <w:t xml:space="preserve"> </w:t>
      </w:r>
      <w:r w:rsidR="000F69FB">
        <w:rPr>
          <w:b/>
          <w:bCs/>
        </w:rPr>
        <w:t>kinnitused, et Pakkumus vastab Hankija poolt</w:t>
      </w:r>
      <w:r w:rsidR="005870D4">
        <w:rPr>
          <w:b/>
          <w:bCs/>
        </w:rPr>
        <w:t xml:space="preserve"> käesolevas dokumendis</w:t>
      </w:r>
      <w:r w:rsidR="000F69FB">
        <w:rPr>
          <w:b/>
          <w:bCs/>
        </w:rPr>
        <w:t xml:space="preserve"> esitatud tingimustele</w:t>
      </w:r>
      <w:r w:rsidR="005870D4">
        <w:rPr>
          <w:b/>
          <w:bCs/>
        </w:rPr>
        <w:t>.</w:t>
      </w:r>
    </w:p>
    <w:p w14:paraId="4B064658" w14:textId="77777777" w:rsidR="0091086E" w:rsidRDefault="0091086E" w:rsidP="000F69FB">
      <w:pPr>
        <w:tabs>
          <w:tab w:val="left" w:pos="7938"/>
        </w:tabs>
        <w:jc w:val="both"/>
        <w:rPr>
          <w:b/>
          <w:bCs/>
        </w:rPr>
      </w:pPr>
    </w:p>
    <w:p w14:paraId="6DFAFBC0" w14:textId="4DB06C39" w:rsidR="00E0095E" w:rsidRDefault="005870D4" w:rsidP="000F69FB">
      <w:pPr>
        <w:tabs>
          <w:tab w:val="left" w:pos="7938"/>
        </w:tabs>
        <w:jc w:val="both"/>
      </w:pPr>
      <w:r w:rsidRPr="006761D3">
        <w:t xml:space="preserve">Aktsiaselts </w:t>
      </w:r>
      <w:r w:rsidR="000E2F27">
        <w:t>Järvamaa</w:t>
      </w:r>
      <w:r w:rsidRPr="006761D3">
        <w:t xml:space="preserve"> Haigla kutsub hankest huvitatud isikuid ja võimalikke pakkujaid osalema </w:t>
      </w:r>
      <w:r w:rsidR="000E2F27">
        <w:t>alla lihthanke piirmäära jääval riigi</w:t>
      </w:r>
      <w:r w:rsidRPr="006761D3">
        <w:t>hankel „</w:t>
      </w:r>
      <w:r w:rsidR="00AD5219">
        <w:t>Vaatevälja uuringu seadme</w:t>
      </w:r>
      <w:r w:rsidR="00154470" w:rsidRPr="00154470">
        <w:t xml:space="preserve"> </w:t>
      </w:r>
      <w:r w:rsidR="000A115D" w:rsidRPr="000A115D">
        <w:t>ostmine</w:t>
      </w:r>
      <w:r w:rsidR="00C53AD8">
        <w:t xml:space="preserve">“, </w:t>
      </w:r>
      <w:r w:rsidR="00C53AD8" w:rsidRPr="00C53AD8">
        <w:t xml:space="preserve">millise objektiks on käesolevatest tehnilisest tingimustest tulenevatele nõuetele vastava </w:t>
      </w:r>
      <w:r w:rsidR="00AD5219">
        <w:t>kompuuterperimeetri</w:t>
      </w:r>
      <w:r w:rsidR="00C53AD8" w:rsidRPr="00C53AD8">
        <w:t xml:space="preserve"> (edaspidi seade) soetamine koos kasutajakoolituse</w:t>
      </w:r>
      <w:r w:rsidR="00500180">
        <w:t>ga</w:t>
      </w:r>
      <w:r w:rsidR="00C53AD8" w:rsidRPr="00C53AD8">
        <w:t>. Hankeobjektiks olevate seadmete tehnilise kirjelduse ning hankelepingu oluliste tingimustega palume tutvuda käesolevas</w:t>
      </w:r>
      <w:r w:rsidR="00500180">
        <w:t xml:space="preserve"> hankedokumendis</w:t>
      </w:r>
      <w:r w:rsidR="00C53AD8" w:rsidRPr="00C53AD8">
        <w:t>.</w:t>
      </w:r>
    </w:p>
    <w:p w14:paraId="2B0A20D5" w14:textId="77777777" w:rsidR="00F826FD" w:rsidRDefault="00F826FD" w:rsidP="000F69FB">
      <w:pPr>
        <w:tabs>
          <w:tab w:val="left" w:pos="7938"/>
        </w:tabs>
        <w:jc w:val="both"/>
      </w:pPr>
    </w:p>
    <w:p w14:paraId="69942E9A" w14:textId="57741CDB" w:rsidR="005870D4" w:rsidRDefault="005870D4" w:rsidP="005870D4">
      <w:pPr>
        <w:tabs>
          <w:tab w:val="left" w:pos="7938"/>
        </w:tabs>
        <w:jc w:val="both"/>
      </w:pPr>
      <w:r w:rsidRPr="006761D3">
        <w:t>Pakkumused tuleb esitada elektronposti teel</w:t>
      </w:r>
      <w:r>
        <w:rPr>
          <w:b/>
        </w:rPr>
        <w:t xml:space="preserve"> hiljemalt </w:t>
      </w:r>
      <w:r w:rsidR="00AD5219">
        <w:rPr>
          <w:b/>
        </w:rPr>
        <w:t>06</w:t>
      </w:r>
      <w:r w:rsidR="00617748">
        <w:rPr>
          <w:b/>
        </w:rPr>
        <w:t xml:space="preserve">. </w:t>
      </w:r>
      <w:r w:rsidR="00AD5219">
        <w:rPr>
          <w:b/>
        </w:rPr>
        <w:t>aprillil</w:t>
      </w:r>
      <w:r>
        <w:rPr>
          <w:b/>
        </w:rPr>
        <w:t xml:space="preserve"> 20</w:t>
      </w:r>
      <w:r w:rsidR="000C3013">
        <w:rPr>
          <w:b/>
        </w:rPr>
        <w:t>2</w:t>
      </w:r>
      <w:r w:rsidR="009C47A7">
        <w:rPr>
          <w:b/>
        </w:rPr>
        <w:t>6</w:t>
      </w:r>
      <w:r>
        <w:rPr>
          <w:b/>
        </w:rPr>
        <w:t>.a kell</w:t>
      </w:r>
      <w:r w:rsidR="00617748">
        <w:rPr>
          <w:b/>
        </w:rPr>
        <w:t xml:space="preserve"> 1</w:t>
      </w:r>
      <w:r w:rsidR="00730447">
        <w:rPr>
          <w:b/>
        </w:rPr>
        <w:t>0</w:t>
      </w:r>
      <w:r w:rsidR="00617748">
        <w:rPr>
          <w:b/>
        </w:rPr>
        <w:t>:00</w:t>
      </w:r>
      <w:r>
        <w:rPr>
          <w:b/>
        </w:rPr>
        <w:t xml:space="preserve"> </w:t>
      </w:r>
      <w:r w:rsidRPr="009C5984">
        <w:rPr>
          <w:bCs/>
        </w:rPr>
        <w:t>aadressil</w:t>
      </w:r>
      <w:r w:rsidR="00730447" w:rsidRPr="009C5984">
        <w:rPr>
          <w:bCs/>
        </w:rPr>
        <w:t>e</w:t>
      </w:r>
      <w:r w:rsidRPr="009C5984">
        <w:rPr>
          <w:bCs/>
        </w:rPr>
        <w:t xml:space="preserve"> </w:t>
      </w:r>
      <w:hyperlink r:id="rId7" w:history="1">
        <w:r w:rsidR="000E2F27" w:rsidRPr="009C5984">
          <w:rPr>
            <w:rStyle w:val="Hperlink"/>
            <w:bCs/>
          </w:rPr>
          <w:t>haigla@jmh.ee</w:t>
        </w:r>
      </w:hyperlink>
      <w:r w:rsidR="00642039" w:rsidRPr="009C5984">
        <w:rPr>
          <w:bCs/>
        </w:rPr>
        <w:t>.</w:t>
      </w:r>
      <w:r w:rsidRPr="009C5984">
        <w:rPr>
          <w:bCs/>
        </w:rPr>
        <w:t xml:space="preserve"> Elektronkirja teemareale tuleb märkida </w:t>
      </w:r>
      <w:r w:rsidRPr="009C5984">
        <w:rPr>
          <w:bCs/>
          <w:i/>
        </w:rPr>
        <w:t>„</w:t>
      </w:r>
      <w:r w:rsidR="00AD5219">
        <w:rPr>
          <w:bCs/>
          <w:i/>
        </w:rPr>
        <w:t>Vaatevälja uuringu seade</w:t>
      </w:r>
      <w:r w:rsidRPr="009C5984">
        <w:rPr>
          <w:bCs/>
          <w:i/>
        </w:rPr>
        <w:t>“</w:t>
      </w:r>
      <w:r w:rsidRPr="009C5984">
        <w:rPr>
          <w:bCs/>
        </w:rPr>
        <w:t>. Pakkumuse</w:t>
      </w:r>
      <w:r>
        <w:t>d</w:t>
      </w:r>
      <w:r w:rsidRPr="006761D3">
        <w:t>, mis on esitatud paberkandjatel või millised ei ole saabunud käesolevas lõigus nimetatud elektronposti aadressile hiljemalt eelnimetatud tähtpäevaks</w:t>
      </w:r>
      <w:r w:rsidR="00730447">
        <w:t xml:space="preserve"> ja kellaajaks</w:t>
      </w:r>
      <w:r w:rsidRPr="006761D3">
        <w:t>, ei osale pakkumismenetluses.</w:t>
      </w:r>
      <w:r>
        <w:t xml:space="preserve"> Tingimuslike pakkumuste esitamine ei ole lubatud. Tingimuslikud pakkumused kuuluvad viivitamatult tagasilükkamisele.</w:t>
      </w:r>
    </w:p>
    <w:p w14:paraId="74CCC2BA" w14:textId="77777777" w:rsidR="005870D4" w:rsidRDefault="005870D4" w:rsidP="005870D4">
      <w:pPr>
        <w:tabs>
          <w:tab w:val="left" w:pos="7938"/>
        </w:tabs>
        <w:jc w:val="both"/>
      </w:pPr>
    </w:p>
    <w:p w14:paraId="6E575247" w14:textId="3D7F7364" w:rsidR="005870D4" w:rsidRDefault="005870D4" w:rsidP="005870D4">
      <w:pPr>
        <w:tabs>
          <w:tab w:val="left" w:pos="7938"/>
        </w:tabs>
        <w:jc w:val="both"/>
      </w:pPr>
      <w:r>
        <w:t>Kogu käesolevat hankemenetlust, hankeobjekt</w:t>
      </w:r>
      <w:r w:rsidR="009A3A57">
        <w:t>i</w:t>
      </w:r>
      <w:r>
        <w:t xml:space="preserve"> puudutavaid tehnilisi ning muid hankemenetlusega seotud küsimusi puudutav suhtlus toimub üksnes elektrooniliste kandjate kaudu, pöördumisel aadressile </w:t>
      </w:r>
      <w:hyperlink r:id="rId8" w:history="1">
        <w:r w:rsidR="00827F88" w:rsidRPr="00704C56">
          <w:rPr>
            <w:rStyle w:val="Hperlink"/>
          </w:rPr>
          <w:t>haigla@jmh.ee</w:t>
        </w:r>
      </w:hyperlink>
      <w:r>
        <w:t xml:space="preserve">. Hankija </w:t>
      </w:r>
      <w:r w:rsidR="00F5355D">
        <w:t>avaldab</w:t>
      </w:r>
      <w:r>
        <w:t xml:space="preserve"> kõik käesolevast pakkumuste esitamise ettepanekust tulenevad küsimused ja/või tehnilise kirjelduse osas esitatud küsimused koos vastustega </w:t>
      </w:r>
      <w:hyperlink r:id="rId9" w:history="1">
        <w:r w:rsidR="00F5355D" w:rsidRPr="000F0BD2">
          <w:rPr>
            <w:rStyle w:val="Hperlink"/>
          </w:rPr>
          <w:t>www.jmh.ee</w:t>
        </w:r>
      </w:hyperlink>
      <w:r w:rsidR="00F5355D">
        <w:t xml:space="preserve"> hangete teemalehel</w:t>
      </w:r>
      <w:r>
        <w:t>.</w:t>
      </w:r>
    </w:p>
    <w:p w14:paraId="603BDC0D" w14:textId="77777777" w:rsidR="00827F88" w:rsidRDefault="00827F88" w:rsidP="005870D4">
      <w:pPr>
        <w:tabs>
          <w:tab w:val="left" w:pos="7938"/>
        </w:tabs>
        <w:jc w:val="both"/>
        <w:rPr>
          <w:b/>
        </w:rPr>
      </w:pPr>
    </w:p>
    <w:p w14:paraId="37E2356F" w14:textId="24205765" w:rsidR="00827F88" w:rsidRPr="00827F88" w:rsidRDefault="00827F88" w:rsidP="00827F88">
      <w:pPr>
        <w:tabs>
          <w:tab w:val="left" w:pos="7938"/>
        </w:tabs>
        <w:jc w:val="both"/>
      </w:pPr>
      <w:r w:rsidRPr="00827F88">
        <w:t>Hankija jätab endale õiguse astuda tähtaegselt käesolevast pakkumuste esitamise ettepanekust tulenevatele tingimustele vastavad pakkumused esitanud pakkujatega läbirääkimistesse pakutavate seadmete tarneaja, garantiijärgse hooldusteenuse osutamise võimalikkuse, tingimuste ning tasu suuruse ja seadmete maksumuse üle. Läbirääkimiste pidamise soovist ning täpsemast korrast teavitab hankija tähtaegselt pakkumused esitanud pakkujaid elektronkirja teel.</w:t>
      </w:r>
    </w:p>
    <w:p w14:paraId="50270662" w14:textId="6879CFA8" w:rsidR="009C7CB5" w:rsidRDefault="009C7CB5" w:rsidP="00827F88">
      <w:pPr>
        <w:tabs>
          <w:tab w:val="left" w:pos="7938"/>
        </w:tabs>
        <w:jc w:val="both"/>
      </w:pPr>
    </w:p>
    <w:p w14:paraId="042EBD52" w14:textId="680E1D50" w:rsidR="00416D56" w:rsidRDefault="00416D56" w:rsidP="00416D56">
      <w:pPr>
        <w:jc w:val="both"/>
      </w:pPr>
      <w:r>
        <w:t>Pakkumuste hindamiskriteeriumiks on madalaim maksumus</w:t>
      </w:r>
      <w:r w:rsidR="000E2F27">
        <w:t>.</w:t>
      </w:r>
    </w:p>
    <w:p w14:paraId="79EFCED0" w14:textId="77777777" w:rsidR="00416D56" w:rsidRDefault="00416D56" w:rsidP="00416D56">
      <w:pPr>
        <w:jc w:val="both"/>
      </w:pPr>
    </w:p>
    <w:p w14:paraId="26B0A1F4" w14:textId="434645C7" w:rsidR="005870D4" w:rsidRDefault="00416D56" w:rsidP="00416D56">
      <w:pPr>
        <w:jc w:val="both"/>
      </w:pPr>
      <w:r>
        <w:t>Hankija jätab endale õiguse kõikide pakkumuste tagasi lükkamiseks.</w:t>
      </w:r>
    </w:p>
    <w:p w14:paraId="63EA25D8" w14:textId="77777777" w:rsidR="00416D56" w:rsidRDefault="00416D56" w:rsidP="00416D56">
      <w:pPr>
        <w:jc w:val="both"/>
      </w:pPr>
    </w:p>
    <w:p w14:paraId="6141DC8A" w14:textId="76C8D6D3" w:rsidR="005870D4" w:rsidRDefault="005870D4" w:rsidP="005870D4">
      <w:pPr>
        <w:jc w:val="both"/>
      </w:pPr>
      <w:r>
        <w:t xml:space="preserve">Eduka pakkujaga </w:t>
      </w:r>
      <w:r w:rsidR="00DE7570">
        <w:t>sõlmitakse hankeleping.</w:t>
      </w:r>
      <w:r>
        <w:t xml:space="preserve"> </w:t>
      </w:r>
      <w:r w:rsidR="000756C1">
        <w:t>Poolte vahelisele</w:t>
      </w:r>
      <w:r>
        <w:t xml:space="preserve"> hankelepingule kohaldatakse Eesti Vabariigi õigust. Hankelepingust tulenevad vaidlused lahendatakse eelkõige läbirääkimiste teel. Juhul kui lepingust tõusetunud vaidluste lahendamine ei ole läbirääkimiste teel võimalik, lahendatakse vaidlus esmases järjekorras </w:t>
      </w:r>
      <w:r w:rsidR="00730447">
        <w:t>Pärnu</w:t>
      </w:r>
      <w:r>
        <w:t xml:space="preserve"> maakohtus.</w:t>
      </w:r>
    </w:p>
    <w:p w14:paraId="52A0EC69" w14:textId="029A6C36" w:rsidR="00DE7570" w:rsidRDefault="00DE7570" w:rsidP="005870D4">
      <w:pPr>
        <w:jc w:val="both"/>
      </w:pPr>
    </w:p>
    <w:p w14:paraId="2BF00C0C" w14:textId="2EC70EEE" w:rsidR="00C7325D" w:rsidRDefault="00C7325D" w:rsidP="00C7325D">
      <w:pPr>
        <w:jc w:val="both"/>
      </w:pPr>
      <w:r w:rsidRPr="00DE7570">
        <w:t>Pakkumus</w:t>
      </w:r>
      <w:r>
        <w:t xml:space="preserve"> tuleb esitada</w:t>
      </w:r>
      <w:r w:rsidRPr="00DE7570">
        <w:t xml:space="preserve"> vastavalt lisatud tehnilisele kirjeldusele</w:t>
      </w:r>
      <w:r>
        <w:t>.</w:t>
      </w:r>
    </w:p>
    <w:p w14:paraId="138C489C" w14:textId="77777777" w:rsidR="00BE291D" w:rsidRPr="00DE7570" w:rsidRDefault="00BE291D" w:rsidP="00C7325D">
      <w:pPr>
        <w:jc w:val="both"/>
      </w:pPr>
    </w:p>
    <w:p w14:paraId="62F4B6A2" w14:textId="77777777" w:rsidR="00C7325D" w:rsidRDefault="00C7325D" w:rsidP="00827F88">
      <w:pPr>
        <w:jc w:val="both"/>
        <w:rPr>
          <w:b/>
        </w:rPr>
      </w:pPr>
    </w:p>
    <w:p w14:paraId="5A1ED85A" w14:textId="64ADF69A" w:rsidR="00827F88" w:rsidRPr="00827F88" w:rsidRDefault="000C3013" w:rsidP="00827F88">
      <w:pPr>
        <w:jc w:val="both"/>
        <w:rPr>
          <w:b/>
        </w:rPr>
      </w:pPr>
      <w:r>
        <w:rPr>
          <w:b/>
        </w:rPr>
        <w:t xml:space="preserve">Täiskomplektsuses </w:t>
      </w:r>
      <w:r w:rsidR="00432DCA">
        <w:rPr>
          <w:b/>
        </w:rPr>
        <w:t>seadme</w:t>
      </w:r>
      <w:r w:rsidR="00827F88" w:rsidRPr="00827F88">
        <w:rPr>
          <w:b/>
        </w:rPr>
        <w:t xml:space="preserve"> </w:t>
      </w:r>
      <w:r w:rsidR="00C7325D">
        <w:rPr>
          <w:b/>
        </w:rPr>
        <w:t>…</w:t>
      </w:r>
      <w:r w:rsidR="00522D08">
        <w:rPr>
          <w:b/>
        </w:rPr>
        <w:t>……</w:t>
      </w:r>
      <w:r w:rsidR="00C7325D">
        <w:rPr>
          <w:b/>
        </w:rPr>
        <w:t xml:space="preserve">…. (nimetus) </w:t>
      </w:r>
      <w:r w:rsidR="00827F88" w:rsidRPr="00827F88">
        <w:rPr>
          <w:b/>
        </w:rPr>
        <w:t>hind koos koolitusega: ................... € +km</w:t>
      </w:r>
    </w:p>
    <w:p w14:paraId="6C5EE4EF" w14:textId="77777777" w:rsidR="00827F88" w:rsidRPr="00827F88" w:rsidRDefault="00827F88" w:rsidP="00827F88">
      <w:pPr>
        <w:jc w:val="both"/>
        <w:rPr>
          <w:b/>
        </w:rPr>
      </w:pPr>
    </w:p>
    <w:p w14:paraId="0F81A8C7" w14:textId="1E0CFD8C" w:rsidR="00827F88" w:rsidRPr="00C7325D" w:rsidRDefault="00C7325D" w:rsidP="00827F88">
      <w:pPr>
        <w:jc w:val="both"/>
        <w:rPr>
          <w:b/>
          <w:iCs/>
        </w:rPr>
      </w:pPr>
      <w:r>
        <w:rPr>
          <w:b/>
          <w:iCs/>
        </w:rPr>
        <w:t>Tehniline kirjeldus ja n</w:t>
      </w:r>
      <w:r w:rsidR="00827F88" w:rsidRPr="00C7325D">
        <w:rPr>
          <w:b/>
          <w:iCs/>
        </w:rPr>
        <w:t xml:space="preserve">õuded </w:t>
      </w:r>
      <w:r w:rsidR="00432DCA">
        <w:rPr>
          <w:b/>
          <w:iCs/>
        </w:rPr>
        <w:t>seadmele</w:t>
      </w:r>
    </w:p>
    <w:tbl>
      <w:tblPr>
        <w:tblpPr w:leftFromText="141" w:rightFromText="141" w:bottomFromText="65" w:vertAnchor="text" w:tblpXSpec="cente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6607"/>
        <w:gridCol w:w="1992"/>
      </w:tblGrid>
      <w:tr w:rsidR="00827F88" w:rsidRPr="00827F88" w14:paraId="0DA83B12" w14:textId="77777777" w:rsidTr="00DE3B8E">
        <w:trPr>
          <w:jc w:val="center"/>
        </w:trPr>
        <w:tc>
          <w:tcPr>
            <w:tcW w:w="6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7C3488D2" w14:textId="77777777" w:rsidR="00827F88" w:rsidRPr="00827F88" w:rsidRDefault="00827F88" w:rsidP="00827F88">
            <w:pPr>
              <w:jc w:val="both"/>
              <w:rPr>
                <w:b/>
                <w:bCs/>
              </w:rPr>
            </w:pPr>
            <w:r w:rsidRPr="00827F88">
              <w:rPr>
                <w:b/>
                <w:bCs/>
              </w:rPr>
              <w:t xml:space="preserve">Jrk </w:t>
            </w:r>
          </w:p>
        </w:tc>
        <w:tc>
          <w:tcPr>
            <w:tcW w:w="33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0671D8C7" w14:textId="276F79AC" w:rsidR="00827F88" w:rsidRPr="00827F88" w:rsidRDefault="009C47A7" w:rsidP="00827F88">
            <w:pPr>
              <w:jc w:val="both"/>
              <w:rPr>
                <w:b/>
                <w:bCs/>
              </w:rPr>
            </w:pPr>
            <w:r>
              <w:rPr>
                <w:b/>
                <w:bCs/>
              </w:rPr>
              <w:t>Seadmetele esitatavad nõuded</w:t>
            </w:r>
            <w:r w:rsidR="00827F88" w:rsidRPr="00827F88">
              <w:rPr>
                <w:b/>
                <w:bCs/>
              </w:rPr>
              <w:t xml:space="preserve"> </w:t>
            </w:r>
          </w:p>
        </w:tc>
        <w:tc>
          <w:tcPr>
            <w:tcW w:w="100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9600C4" w14:textId="77777777" w:rsidR="00827F88" w:rsidRPr="00827F88" w:rsidRDefault="00827F88" w:rsidP="00827F88">
            <w:pPr>
              <w:jc w:val="both"/>
              <w:rPr>
                <w:b/>
                <w:bCs/>
              </w:rPr>
            </w:pPr>
            <w:r w:rsidRPr="00827F88">
              <w:rPr>
                <w:b/>
                <w:bCs/>
              </w:rPr>
              <w:t>Vastavus nõudele (Jah/Ei) ja/või parameetri arvväärtus</w:t>
            </w:r>
          </w:p>
        </w:tc>
      </w:tr>
      <w:tr w:rsidR="00DE3B8E" w:rsidRPr="00827F88" w14:paraId="309728E3" w14:textId="77777777" w:rsidTr="00DE3B8E">
        <w:trPr>
          <w:jc w:val="center"/>
        </w:trPr>
        <w:tc>
          <w:tcPr>
            <w:tcW w:w="665" w:type="pct"/>
            <w:tcMar>
              <w:top w:w="0" w:type="dxa"/>
              <w:left w:w="108" w:type="dxa"/>
              <w:bottom w:w="0" w:type="dxa"/>
              <w:right w:w="108" w:type="dxa"/>
            </w:tcMar>
            <w:vAlign w:val="center"/>
          </w:tcPr>
          <w:p w14:paraId="3F3FE6AA" w14:textId="41991716" w:rsidR="00DE3B8E" w:rsidRPr="00827F88" w:rsidRDefault="00DE3B8E" w:rsidP="00DE3B8E">
            <w:pPr>
              <w:ind w:left="357"/>
              <w:jc w:val="both"/>
              <w:rPr>
                <w:bCs/>
              </w:rPr>
            </w:pPr>
            <w:r w:rsidRPr="00FF7B17">
              <w:rPr>
                <w:rFonts w:eastAsia="Calibri"/>
                <w:b/>
                <w:sz w:val="22"/>
                <w:szCs w:val="22"/>
              </w:rPr>
              <w:t>1.</w:t>
            </w:r>
          </w:p>
        </w:tc>
        <w:tc>
          <w:tcPr>
            <w:tcW w:w="3331" w:type="pct"/>
            <w:tcMar>
              <w:top w:w="0" w:type="dxa"/>
              <w:left w:w="108" w:type="dxa"/>
              <w:bottom w:w="0" w:type="dxa"/>
              <w:right w:w="108" w:type="dxa"/>
            </w:tcMar>
            <w:vAlign w:val="center"/>
          </w:tcPr>
          <w:p w14:paraId="1180CE7E" w14:textId="0828E0DD" w:rsidR="00DE3B8E" w:rsidRPr="00827F88" w:rsidRDefault="00DE3B8E" w:rsidP="00DE3B8E">
            <w:pPr>
              <w:jc w:val="both"/>
              <w:rPr>
                <w:b/>
                <w:bCs/>
              </w:rPr>
            </w:pPr>
            <w:r w:rsidRPr="00FF7B17">
              <w:rPr>
                <w:rFonts w:eastAsia="Calibri"/>
                <w:b/>
                <w:sz w:val="22"/>
                <w:szCs w:val="22"/>
              </w:rPr>
              <w:t>Nõuded kompuuterperimeetrile</w:t>
            </w:r>
          </w:p>
        </w:tc>
        <w:tc>
          <w:tcPr>
            <w:tcW w:w="1004" w:type="pct"/>
            <w:tcBorders>
              <w:top w:val="single" w:sz="4" w:space="0" w:color="auto"/>
              <w:left w:val="single" w:sz="4" w:space="0" w:color="auto"/>
              <w:bottom w:val="single" w:sz="4" w:space="0" w:color="auto"/>
              <w:right w:val="single" w:sz="4" w:space="0" w:color="auto"/>
            </w:tcBorders>
          </w:tcPr>
          <w:p w14:paraId="157E7D3C" w14:textId="77777777" w:rsidR="00DE3B8E" w:rsidRPr="00827F88" w:rsidRDefault="00DE3B8E" w:rsidP="00DE3B8E">
            <w:pPr>
              <w:jc w:val="both"/>
            </w:pPr>
          </w:p>
        </w:tc>
      </w:tr>
      <w:tr w:rsidR="00DE3B8E" w:rsidRPr="00827F88" w14:paraId="1F86F8CE" w14:textId="77777777" w:rsidTr="00DE3B8E">
        <w:trPr>
          <w:jc w:val="center"/>
        </w:trPr>
        <w:tc>
          <w:tcPr>
            <w:tcW w:w="665" w:type="pct"/>
            <w:tcMar>
              <w:top w:w="0" w:type="dxa"/>
              <w:left w:w="108" w:type="dxa"/>
              <w:bottom w:w="0" w:type="dxa"/>
              <w:right w:w="108" w:type="dxa"/>
            </w:tcMar>
            <w:vAlign w:val="center"/>
          </w:tcPr>
          <w:p w14:paraId="320847E2" w14:textId="23472147" w:rsidR="00DE3B8E" w:rsidRPr="00827F88" w:rsidRDefault="00DE3B8E" w:rsidP="00DE3B8E">
            <w:pPr>
              <w:ind w:left="357"/>
              <w:jc w:val="both"/>
              <w:rPr>
                <w:bCs/>
              </w:rPr>
            </w:pPr>
            <w:r w:rsidRPr="00FF7B17">
              <w:rPr>
                <w:rFonts w:eastAsia="Calibri"/>
                <w:sz w:val="22"/>
                <w:szCs w:val="22"/>
              </w:rPr>
              <w:t>1.1</w:t>
            </w:r>
          </w:p>
        </w:tc>
        <w:tc>
          <w:tcPr>
            <w:tcW w:w="3331" w:type="pct"/>
            <w:tcMar>
              <w:top w:w="0" w:type="dxa"/>
              <w:left w:w="108" w:type="dxa"/>
              <w:bottom w:w="0" w:type="dxa"/>
              <w:right w:w="108" w:type="dxa"/>
            </w:tcMar>
            <w:vAlign w:val="center"/>
            <w:hideMark/>
          </w:tcPr>
          <w:p w14:paraId="02BA8485" w14:textId="43719609" w:rsidR="00DE3B8E" w:rsidRPr="00827F88" w:rsidRDefault="00DE3B8E" w:rsidP="00DE3B8E">
            <w:pPr>
              <w:jc w:val="both"/>
              <w:rPr>
                <w:bCs/>
              </w:rPr>
            </w:pPr>
            <w:r w:rsidRPr="00FF7B17">
              <w:rPr>
                <w:rFonts w:eastAsia="Calibri"/>
                <w:sz w:val="22"/>
                <w:szCs w:val="22"/>
              </w:rPr>
              <w:t>Seadme testiulatus peab olema vähemalt 90 kraadi temporaalselt.</w:t>
            </w:r>
          </w:p>
        </w:tc>
        <w:tc>
          <w:tcPr>
            <w:tcW w:w="1004" w:type="pct"/>
            <w:tcBorders>
              <w:top w:val="single" w:sz="4" w:space="0" w:color="auto"/>
              <w:left w:val="single" w:sz="4" w:space="0" w:color="auto"/>
              <w:bottom w:val="single" w:sz="4" w:space="0" w:color="auto"/>
              <w:right w:val="single" w:sz="4" w:space="0" w:color="auto"/>
            </w:tcBorders>
          </w:tcPr>
          <w:p w14:paraId="487A8682" w14:textId="77777777" w:rsidR="00DE3B8E" w:rsidRPr="00827F88" w:rsidRDefault="00DE3B8E" w:rsidP="00DE3B8E">
            <w:pPr>
              <w:jc w:val="both"/>
            </w:pPr>
          </w:p>
        </w:tc>
      </w:tr>
      <w:tr w:rsidR="00DE3B8E" w:rsidRPr="00827F88" w14:paraId="1ADA9347" w14:textId="77777777" w:rsidTr="00DE3B8E">
        <w:trPr>
          <w:jc w:val="center"/>
        </w:trPr>
        <w:tc>
          <w:tcPr>
            <w:tcW w:w="665" w:type="pct"/>
            <w:tcMar>
              <w:top w:w="0" w:type="dxa"/>
              <w:left w:w="108" w:type="dxa"/>
              <w:bottom w:w="0" w:type="dxa"/>
              <w:right w:w="108" w:type="dxa"/>
            </w:tcMar>
            <w:vAlign w:val="center"/>
          </w:tcPr>
          <w:p w14:paraId="1803BD92" w14:textId="77959FDF" w:rsidR="00DE3B8E" w:rsidRPr="00827F88" w:rsidRDefault="00DE3B8E" w:rsidP="00DE3B8E">
            <w:pPr>
              <w:ind w:left="357"/>
              <w:jc w:val="both"/>
              <w:rPr>
                <w:bCs/>
              </w:rPr>
            </w:pPr>
            <w:r w:rsidRPr="00FF7B17">
              <w:rPr>
                <w:rFonts w:eastAsia="Calibri"/>
                <w:sz w:val="22"/>
                <w:szCs w:val="22"/>
              </w:rPr>
              <w:t>1.2</w:t>
            </w:r>
          </w:p>
        </w:tc>
        <w:tc>
          <w:tcPr>
            <w:tcW w:w="3331" w:type="pct"/>
            <w:tcMar>
              <w:top w:w="0" w:type="dxa"/>
              <w:left w:w="108" w:type="dxa"/>
              <w:bottom w:w="0" w:type="dxa"/>
              <w:right w:w="108" w:type="dxa"/>
            </w:tcMar>
            <w:vAlign w:val="center"/>
          </w:tcPr>
          <w:p w14:paraId="628C4F7F" w14:textId="5ABF2501" w:rsidR="00DE3B8E" w:rsidRPr="00827F88" w:rsidRDefault="00DE3B8E" w:rsidP="00DE3B8E">
            <w:pPr>
              <w:jc w:val="both"/>
              <w:rPr>
                <w:bCs/>
              </w:rPr>
            </w:pPr>
            <w:r w:rsidRPr="00FF7B17">
              <w:rPr>
                <w:rFonts w:eastAsia="Calibri"/>
                <w:sz w:val="22"/>
                <w:szCs w:val="22"/>
              </w:rPr>
              <w:t>Valgusstiimuli kestvus ei tohi ületada 200 ms</w:t>
            </w:r>
          </w:p>
        </w:tc>
        <w:tc>
          <w:tcPr>
            <w:tcW w:w="1004" w:type="pct"/>
            <w:tcBorders>
              <w:top w:val="single" w:sz="4" w:space="0" w:color="auto"/>
              <w:left w:val="single" w:sz="4" w:space="0" w:color="auto"/>
              <w:bottom w:val="single" w:sz="4" w:space="0" w:color="auto"/>
              <w:right w:val="single" w:sz="4" w:space="0" w:color="auto"/>
            </w:tcBorders>
          </w:tcPr>
          <w:p w14:paraId="3BD2A396" w14:textId="77777777" w:rsidR="00DE3B8E" w:rsidRPr="00827F88" w:rsidRDefault="00DE3B8E" w:rsidP="00DE3B8E">
            <w:pPr>
              <w:jc w:val="both"/>
              <w:rPr>
                <w:bCs/>
              </w:rPr>
            </w:pPr>
          </w:p>
        </w:tc>
      </w:tr>
      <w:tr w:rsidR="00DE3B8E" w:rsidRPr="00827F88" w14:paraId="46886F35" w14:textId="77777777" w:rsidTr="00DE3B8E">
        <w:trPr>
          <w:jc w:val="center"/>
        </w:trPr>
        <w:tc>
          <w:tcPr>
            <w:tcW w:w="665" w:type="pct"/>
            <w:tcMar>
              <w:top w:w="0" w:type="dxa"/>
              <w:left w:w="108" w:type="dxa"/>
              <w:bottom w:w="0" w:type="dxa"/>
              <w:right w:w="108" w:type="dxa"/>
            </w:tcMar>
            <w:vAlign w:val="center"/>
          </w:tcPr>
          <w:p w14:paraId="4E50BFD7" w14:textId="71FB8282" w:rsidR="00DE3B8E" w:rsidRPr="00827F88" w:rsidRDefault="00DE3B8E" w:rsidP="00DE3B8E">
            <w:pPr>
              <w:ind w:left="357"/>
              <w:jc w:val="both"/>
              <w:rPr>
                <w:bCs/>
              </w:rPr>
            </w:pPr>
            <w:r w:rsidRPr="00FF7B17">
              <w:rPr>
                <w:rFonts w:eastAsia="Calibri"/>
                <w:sz w:val="22"/>
                <w:szCs w:val="22"/>
              </w:rPr>
              <w:t>1.3</w:t>
            </w:r>
          </w:p>
        </w:tc>
        <w:tc>
          <w:tcPr>
            <w:tcW w:w="3331" w:type="pct"/>
            <w:tcMar>
              <w:top w:w="0" w:type="dxa"/>
              <w:left w:w="108" w:type="dxa"/>
              <w:bottom w:w="0" w:type="dxa"/>
              <w:right w:w="108" w:type="dxa"/>
            </w:tcMar>
            <w:vAlign w:val="center"/>
          </w:tcPr>
          <w:p w14:paraId="0ADC8C07" w14:textId="72295F84" w:rsidR="00DE3B8E" w:rsidRPr="00827F88" w:rsidRDefault="00DE3B8E" w:rsidP="00DE3B8E">
            <w:pPr>
              <w:jc w:val="both"/>
            </w:pPr>
            <w:r w:rsidRPr="00FF7B17">
              <w:rPr>
                <w:rFonts w:eastAsia="Calibri"/>
                <w:sz w:val="22"/>
                <w:szCs w:val="22"/>
              </w:rPr>
              <w:t>Läviväärtustestid: 24-2, 30-2, 10-2, Macula, 60-4, Nasal step või samaväärsed</w:t>
            </w:r>
          </w:p>
        </w:tc>
        <w:tc>
          <w:tcPr>
            <w:tcW w:w="1004" w:type="pct"/>
            <w:tcBorders>
              <w:top w:val="single" w:sz="4" w:space="0" w:color="auto"/>
              <w:left w:val="single" w:sz="4" w:space="0" w:color="auto"/>
              <w:bottom w:val="single" w:sz="4" w:space="0" w:color="auto"/>
              <w:right w:val="single" w:sz="4" w:space="0" w:color="auto"/>
            </w:tcBorders>
          </w:tcPr>
          <w:p w14:paraId="49F491C1" w14:textId="77777777" w:rsidR="00DE3B8E" w:rsidRPr="00827F88" w:rsidRDefault="00DE3B8E" w:rsidP="00DE3B8E">
            <w:pPr>
              <w:jc w:val="both"/>
            </w:pPr>
          </w:p>
        </w:tc>
      </w:tr>
      <w:tr w:rsidR="00DE3B8E" w:rsidRPr="00827F88" w14:paraId="09132367" w14:textId="77777777" w:rsidTr="00DE3B8E">
        <w:trPr>
          <w:jc w:val="center"/>
        </w:trPr>
        <w:tc>
          <w:tcPr>
            <w:tcW w:w="665" w:type="pct"/>
            <w:tcMar>
              <w:top w:w="0" w:type="dxa"/>
              <w:left w:w="108" w:type="dxa"/>
              <w:bottom w:w="0" w:type="dxa"/>
              <w:right w:w="108" w:type="dxa"/>
            </w:tcMar>
            <w:vAlign w:val="center"/>
          </w:tcPr>
          <w:p w14:paraId="7B1F12C7" w14:textId="38425054" w:rsidR="00DE3B8E" w:rsidRPr="00827F88" w:rsidRDefault="00DE3B8E" w:rsidP="00DE3B8E">
            <w:pPr>
              <w:ind w:left="357"/>
              <w:jc w:val="both"/>
              <w:rPr>
                <w:bCs/>
              </w:rPr>
            </w:pPr>
            <w:r w:rsidRPr="00FF7B17">
              <w:rPr>
                <w:rFonts w:eastAsia="Calibri"/>
                <w:sz w:val="22"/>
                <w:szCs w:val="22"/>
              </w:rPr>
              <w:t>1.4</w:t>
            </w:r>
          </w:p>
        </w:tc>
        <w:tc>
          <w:tcPr>
            <w:tcW w:w="3331" w:type="pct"/>
            <w:tcMar>
              <w:top w:w="0" w:type="dxa"/>
              <w:left w:w="108" w:type="dxa"/>
              <w:bottom w:w="0" w:type="dxa"/>
              <w:right w:w="108" w:type="dxa"/>
            </w:tcMar>
            <w:vAlign w:val="center"/>
          </w:tcPr>
          <w:p w14:paraId="722043EB" w14:textId="0730A1BD" w:rsidR="00DE3B8E" w:rsidRPr="00827F88" w:rsidRDefault="00DE3B8E" w:rsidP="00DE3B8E">
            <w:pPr>
              <w:jc w:val="both"/>
            </w:pPr>
            <w:r w:rsidRPr="00FF7B17">
              <w:rPr>
                <w:rFonts w:eastAsia="Calibri"/>
                <w:sz w:val="22"/>
                <w:szCs w:val="22"/>
              </w:rPr>
              <w:t>Läviväärtustestide strateegiad: SITA standard, SITA Fast, SITA Faster, Full Threshold, FastPac või samaväärsed</w:t>
            </w:r>
          </w:p>
        </w:tc>
        <w:tc>
          <w:tcPr>
            <w:tcW w:w="1004" w:type="pct"/>
            <w:tcBorders>
              <w:top w:val="single" w:sz="4" w:space="0" w:color="auto"/>
              <w:left w:val="single" w:sz="4" w:space="0" w:color="auto"/>
              <w:bottom w:val="single" w:sz="4" w:space="0" w:color="auto"/>
              <w:right w:val="single" w:sz="4" w:space="0" w:color="auto"/>
            </w:tcBorders>
          </w:tcPr>
          <w:p w14:paraId="5ADA704D" w14:textId="77777777" w:rsidR="00DE3B8E" w:rsidRPr="00827F88" w:rsidRDefault="00DE3B8E" w:rsidP="00DE3B8E">
            <w:pPr>
              <w:jc w:val="both"/>
            </w:pPr>
          </w:p>
        </w:tc>
      </w:tr>
      <w:tr w:rsidR="00DE3B8E" w:rsidRPr="00827F88" w14:paraId="0082EFDB" w14:textId="77777777" w:rsidTr="00DE3B8E">
        <w:trPr>
          <w:jc w:val="center"/>
        </w:trPr>
        <w:tc>
          <w:tcPr>
            <w:tcW w:w="665" w:type="pct"/>
            <w:tcMar>
              <w:top w:w="0" w:type="dxa"/>
              <w:left w:w="108" w:type="dxa"/>
              <w:bottom w:w="0" w:type="dxa"/>
              <w:right w:w="108" w:type="dxa"/>
            </w:tcMar>
            <w:vAlign w:val="center"/>
          </w:tcPr>
          <w:p w14:paraId="283216AC" w14:textId="3FEF8530" w:rsidR="00DE3B8E" w:rsidRPr="00FF7B17" w:rsidRDefault="00DE3B8E" w:rsidP="00DE3B8E">
            <w:pPr>
              <w:jc w:val="center"/>
              <w:rPr>
                <w:rFonts w:eastAsia="Calibri"/>
                <w:sz w:val="22"/>
                <w:szCs w:val="22"/>
              </w:rPr>
            </w:pPr>
            <w:r w:rsidRPr="00FF7B17">
              <w:rPr>
                <w:rFonts w:eastAsia="Calibri"/>
                <w:sz w:val="22"/>
                <w:szCs w:val="22"/>
              </w:rPr>
              <w:t>1.5</w:t>
            </w:r>
          </w:p>
        </w:tc>
        <w:tc>
          <w:tcPr>
            <w:tcW w:w="3331" w:type="pct"/>
            <w:tcMar>
              <w:top w:w="0" w:type="dxa"/>
              <w:left w:w="108" w:type="dxa"/>
              <w:bottom w:w="0" w:type="dxa"/>
              <w:right w:w="108" w:type="dxa"/>
            </w:tcMar>
            <w:vAlign w:val="center"/>
          </w:tcPr>
          <w:p w14:paraId="249C9B07" w14:textId="7DBE5860" w:rsidR="00DE3B8E" w:rsidRPr="00FF7B17" w:rsidRDefault="00DE3B8E" w:rsidP="00DE3B8E">
            <w:pPr>
              <w:jc w:val="both"/>
              <w:rPr>
                <w:rFonts w:eastAsia="Calibri"/>
                <w:sz w:val="22"/>
                <w:szCs w:val="22"/>
              </w:rPr>
            </w:pPr>
            <w:r w:rsidRPr="00FF7B17">
              <w:rPr>
                <w:rFonts w:eastAsia="Calibri"/>
                <w:sz w:val="22"/>
                <w:szCs w:val="22"/>
              </w:rPr>
              <w:t>Valgusstiimulid: valge-valgel, punane-või sinine-valgel ja sinine-kollasel</w:t>
            </w:r>
          </w:p>
        </w:tc>
        <w:tc>
          <w:tcPr>
            <w:tcW w:w="1004" w:type="pct"/>
            <w:tcBorders>
              <w:top w:val="single" w:sz="4" w:space="0" w:color="auto"/>
              <w:left w:val="single" w:sz="4" w:space="0" w:color="auto"/>
              <w:bottom w:val="single" w:sz="4" w:space="0" w:color="auto"/>
              <w:right w:val="single" w:sz="4" w:space="0" w:color="auto"/>
            </w:tcBorders>
          </w:tcPr>
          <w:p w14:paraId="26F42D84" w14:textId="77777777" w:rsidR="00DE3B8E" w:rsidRPr="00827F88" w:rsidRDefault="00DE3B8E" w:rsidP="00DE3B8E">
            <w:pPr>
              <w:jc w:val="both"/>
            </w:pPr>
          </w:p>
        </w:tc>
      </w:tr>
      <w:tr w:rsidR="00DE3B8E" w:rsidRPr="00827F88" w14:paraId="65167762" w14:textId="77777777" w:rsidTr="00DE3B8E">
        <w:trPr>
          <w:jc w:val="center"/>
        </w:trPr>
        <w:tc>
          <w:tcPr>
            <w:tcW w:w="665" w:type="pct"/>
            <w:tcMar>
              <w:top w:w="0" w:type="dxa"/>
              <w:left w:w="108" w:type="dxa"/>
              <w:bottom w:w="0" w:type="dxa"/>
              <w:right w:w="108" w:type="dxa"/>
            </w:tcMar>
            <w:vAlign w:val="center"/>
          </w:tcPr>
          <w:p w14:paraId="23B491A4" w14:textId="23CB4B62" w:rsidR="00DE3B8E" w:rsidRPr="00827F88" w:rsidRDefault="00DE3B8E" w:rsidP="00DE3B8E">
            <w:pPr>
              <w:jc w:val="center"/>
              <w:rPr>
                <w:bCs/>
              </w:rPr>
            </w:pPr>
            <w:r w:rsidRPr="00FF7B17">
              <w:rPr>
                <w:rFonts w:eastAsia="Calibri"/>
                <w:sz w:val="22"/>
                <w:szCs w:val="22"/>
              </w:rPr>
              <w:t>1.6</w:t>
            </w:r>
          </w:p>
        </w:tc>
        <w:tc>
          <w:tcPr>
            <w:tcW w:w="3331" w:type="pct"/>
            <w:tcMar>
              <w:top w:w="0" w:type="dxa"/>
              <w:left w:w="108" w:type="dxa"/>
              <w:bottom w:w="0" w:type="dxa"/>
              <w:right w:w="108" w:type="dxa"/>
            </w:tcMar>
            <w:vAlign w:val="center"/>
          </w:tcPr>
          <w:p w14:paraId="6143F720" w14:textId="2E12E403" w:rsidR="00DE3B8E" w:rsidRPr="004205B3" w:rsidRDefault="00DE3B8E" w:rsidP="00DE3B8E">
            <w:pPr>
              <w:jc w:val="both"/>
              <w:rPr>
                <w:bCs/>
              </w:rPr>
            </w:pPr>
            <w:r w:rsidRPr="00FF7B17">
              <w:rPr>
                <w:rFonts w:eastAsia="Calibri"/>
                <w:sz w:val="22"/>
                <w:szCs w:val="22"/>
              </w:rPr>
              <w:t>Staatilise perimeetria valguspunkti e. Goldmanni stiimuli standardsuurus III  - nõutav varieerimisvõimalus  stiimuli suurustel I-V.</w:t>
            </w:r>
          </w:p>
        </w:tc>
        <w:tc>
          <w:tcPr>
            <w:tcW w:w="1004" w:type="pct"/>
            <w:tcBorders>
              <w:top w:val="single" w:sz="4" w:space="0" w:color="auto"/>
              <w:left w:val="single" w:sz="4" w:space="0" w:color="auto"/>
              <w:bottom w:val="single" w:sz="4" w:space="0" w:color="auto"/>
              <w:right w:val="single" w:sz="4" w:space="0" w:color="auto"/>
            </w:tcBorders>
          </w:tcPr>
          <w:p w14:paraId="076C6976" w14:textId="77777777" w:rsidR="00DE3B8E" w:rsidRPr="00827F88" w:rsidRDefault="00DE3B8E" w:rsidP="00DE3B8E">
            <w:pPr>
              <w:jc w:val="both"/>
            </w:pPr>
          </w:p>
        </w:tc>
      </w:tr>
      <w:tr w:rsidR="00DE3B8E" w:rsidRPr="00827F88" w14:paraId="1EEF15E5" w14:textId="77777777" w:rsidTr="00DE3B8E">
        <w:trPr>
          <w:jc w:val="center"/>
        </w:trPr>
        <w:tc>
          <w:tcPr>
            <w:tcW w:w="665" w:type="pct"/>
            <w:tcMar>
              <w:top w:w="0" w:type="dxa"/>
              <w:left w:w="108" w:type="dxa"/>
              <w:bottom w:w="0" w:type="dxa"/>
              <w:right w:w="108" w:type="dxa"/>
            </w:tcMar>
            <w:vAlign w:val="center"/>
          </w:tcPr>
          <w:p w14:paraId="1D77A299" w14:textId="21795307" w:rsidR="00DE3B8E" w:rsidRPr="00827F88" w:rsidRDefault="00DE3B8E" w:rsidP="00DE3B8E">
            <w:pPr>
              <w:jc w:val="center"/>
              <w:rPr>
                <w:bCs/>
              </w:rPr>
            </w:pPr>
            <w:r w:rsidRPr="00FF7B17">
              <w:rPr>
                <w:rFonts w:eastAsia="Calibri"/>
                <w:sz w:val="22"/>
                <w:szCs w:val="22"/>
              </w:rPr>
              <w:t>1.7</w:t>
            </w:r>
          </w:p>
        </w:tc>
        <w:tc>
          <w:tcPr>
            <w:tcW w:w="3331" w:type="pct"/>
            <w:tcMar>
              <w:top w:w="0" w:type="dxa"/>
              <w:left w:w="108" w:type="dxa"/>
              <w:bottom w:w="0" w:type="dxa"/>
              <w:right w:w="108" w:type="dxa"/>
            </w:tcMar>
            <w:vAlign w:val="center"/>
          </w:tcPr>
          <w:p w14:paraId="11A5852D" w14:textId="41185C5C" w:rsidR="00DE3B8E" w:rsidRPr="004205B3" w:rsidRDefault="00DE3B8E" w:rsidP="00DE3B8E">
            <w:pPr>
              <w:jc w:val="both"/>
              <w:rPr>
                <w:bCs/>
              </w:rPr>
            </w:pPr>
            <w:r w:rsidRPr="00FF7B17">
              <w:rPr>
                <w:rFonts w:eastAsia="Calibri"/>
                <w:sz w:val="22"/>
                <w:szCs w:val="22"/>
              </w:rPr>
              <w:t>Võimaldatud on statistilised analüüsid: Single Field Analysis (SFA), Glaucoma Hemifield Test (GHT), Visual Filed Index (VFI), Guided Progression Analysis (GPA) või samaväärsed</w:t>
            </w:r>
          </w:p>
        </w:tc>
        <w:tc>
          <w:tcPr>
            <w:tcW w:w="1004" w:type="pct"/>
            <w:tcBorders>
              <w:top w:val="single" w:sz="4" w:space="0" w:color="auto"/>
              <w:left w:val="single" w:sz="4" w:space="0" w:color="auto"/>
              <w:bottom w:val="single" w:sz="4" w:space="0" w:color="auto"/>
              <w:right w:val="single" w:sz="4" w:space="0" w:color="auto"/>
            </w:tcBorders>
          </w:tcPr>
          <w:p w14:paraId="15F2CEAA" w14:textId="77777777" w:rsidR="00DE3B8E" w:rsidRPr="00827F88" w:rsidRDefault="00DE3B8E" w:rsidP="00DE3B8E">
            <w:pPr>
              <w:jc w:val="both"/>
            </w:pPr>
          </w:p>
        </w:tc>
      </w:tr>
      <w:tr w:rsidR="00DE3B8E" w:rsidRPr="00827F88" w14:paraId="771943F7" w14:textId="77777777" w:rsidTr="00DE3B8E">
        <w:trPr>
          <w:jc w:val="center"/>
        </w:trPr>
        <w:tc>
          <w:tcPr>
            <w:tcW w:w="665" w:type="pct"/>
            <w:tcMar>
              <w:top w:w="0" w:type="dxa"/>
              <w:left w:w="108" w:type="dxa"/>
              <w:bottom w:w="0" w:type="dxa"/>
              <w:right w:w="108" w:type="dxa"/>
            </w:tcMar>
            <w:vAlign w:val="center"/>
          </w:tcPr>
          <w:p w14:paraId="6108691B" w14:textId="5E9C0AB0" w:rsidR="00DE3B8E" w:rsidRPr="00827F88" w:rsidRDefault="00DE3B8E" w:rsidP="00DE3B8E">
            <w:pPr>
              <w:ind w:left="357"/>
              <w:jc w:val="both"/>
              <w:rPr>
                <w:bCs/>
              </w:rPr>
            </w:pPr>
            <w:r w:rsidRPr="00FF7B17">
              <w:rPr>
                <w:rFonts w:eastAsia="Calibri"/>
                <w:sz w:val="22"/>
                <w:szCs w:val="22"/>
              </w:rPr>
              <w:t>1.8</w:t>
            </w:r>
          </w:p>
        </w:tc>
        <w:tc>
          <w:tcPr>
            <w:tcW w:w="3331" w:type="pct"/>
            <w:tcMar>
              <w:top w:w="0" w:type="dxa"/>
              <w:left w:w="108" w:type="dxa"/>
              <w:bottom w:w="0" w:type="dxa"/>
              <w:right w:w="108" w:type="dxa"/>
            </w:tcMar>
            <w:vAlign w:val="center"/>
          </w:tcPr>
          <w:p w14:paraId="1AB517D6" w14:textId="40D6C426" w:rsidR="00DE3B8E" w:rsidRPr="004205B3" w:rsidRDefault="00DE3B8E" w:rsidP="00DE3B8E">
            <w:pPr>
              <w:jc w:val="both"/>
              <w:rPr>
                <w:bCs/>
              </w:rPr>
            </w:pPr>
            <w:r w:rsidRPr="00FF7B17">
              <w:rPr>
                <w:rFonts w:eastAsia="Calibri"/>
                <w:sz w:val="22"/>
                <w:szCs w:val="22"/>
              </w:rPr>
              <w:t>Seadmel on nõutav automaatne pupilli suuruse määramine</w:t>
            </w:r>
          </w:p>
        </w:tc>
        <w:tc>
          <w:tcPr>
            <w:tcW w:w="1004" w:type="pct"/>
            <w:tcBorders>
              <w:top w:val="single" w:sz="4" w:space="0" w:color="auto"/>
              <w:left w:val="single" w:sz="4" w:space="0" w:color="auto"/>
              <w:bottom w:val="single" w:sz="4" w:space="0" w:color="auto"/>
              <w:right w:val="single" w:sz="4" w:space="0" w:color="auto"/>
            </w:tcBorders>
          </w:tcPr>
          <w:p w14:paraId="30603D37" w14:textId="77777777" w:rsidR="00DE3B8E" w:rsidRPr="00827F88" w:rsidRDefault="00DE3B8E" w:rsidP="00DE3B8E">
            <w:pPr>
              <w:jc w:val="both"/>
            </w:pPr>
          </w:p>
        </w:tc>
      </w:tr>
      <w:tr w:rsidR="00DE3B8E" w:rsidRPr="00827F88" w14:paraId="4EAA0DA4" w14:textId="77777777" w:rsidTr="00DE3B8E">
        <w:trPr>
          <w:jc w:val="center"/>
        </w:trPr>
        <w:tc>
          <w:tcPr>
            <w:tcW w:w="665" w:type="pct"/>
            <w:tcMar>
              <w:top w:w="0" w:type="dxa"/>
              <w:left w:w="108" w:type="dxa"/>
              <w:bottom w:w="0" w:type="dxa"/>
              <w:right w:w="108" w:type="dxa"/>
            </w:tcMar>
            <w:vAlign w:val="center"/>
          </w:tcPr>
          <w:p w14:paraId="1F514488" w14:textId="0A2FC38B" w:rsidR="00DE3B8E" w:rsidRPr="00827F88" w:rsidRDefault="00DE3B8E" w:rsidP="00DE3B8E">
            <w:pPr>
              <w:ind w:left="357"/>
              <w:jc w:val="both"/>
              <w:rPr>
                <w:bCs/>
              </w:rPr>
            </w:pPr>
            <w:r w:rsidRPr="00FF7B17">
              <w:rPr>
                <w:rFonts w:eastAsia="Calibri"/>
                <w:sz w:val="22"/>
                <w:szCs w:val="22"/>
              </w:rPr>
              <w:t>1.9</w:t>
            </w:r>
          </w:p>
        </w:tc>
        <w:tc>
          <w:tcPr>
            <w:tcW w:w="3331" w:type="pct"/>
            <w:tcMar>
              <w:top w:w="0" w:type="dxa"/>
              <w:left w:w="108" w:type="dxa"/>
              <w:bottom w:w="0" w:type="dxa"/>
              <w:right w:w="108" w:type="dxa"/>
            </w:tcMar>
            <w:vAlign w:val="center"/>
          </w:tcPr>
          <w:p w14:paraId="0BBEDB2B" w14:textId="313758BE" w:rsidR="00DE3B8E" w:rsidRPr="00827F88" w:rsidRDefault="00DE3B8E" w:rsidP="00DE3B8E">
            <w:pPr>
              <w:jc w:val="both"/>
              <w:rPr>
                <w:bCs/>
              </w:rPr>
            </w:pPr>
            <w:r w:rsidRPr="00FF7B17">
              <w:rPr>
                <w:rFonts w:eastAsia="Calibri"/>
                <w:sz w:val="22"/>
                <w:szCs w:val="22"/>
              </w:rPr>
              <w:t>Seade on varustatud vedel -prooviläätsega(AutoTLC)</w:t>
            </w:r>
          </w:p>
        </w:tc>
        <w:tc>
          <w:tcPr>
            <w:tcW w:w="1004" w:type="pct"/>
            <w:tcBorders>
              <w:top w:val="single" w:sz="4" w:space="0" w:color="auto"/>
              <w:left w:val="single" w:sz="4" w:space="0" w:color="auto"/>
              <w:bottom w:val="single" w:sz="4" w:space="0" w:color="auto"/>
              <w:right w:val="single" w:sz="4" w:space="0" w:color="auto"/>
            </w:tcBorders>
          </w:tcPr>
          <w:p w14:paraId="33EAB838" w14:textId="77777777" w:rsidR="00DE3B8E" w:rsidRPr="00827F88" w:rsidRDefault="00DE3B8E" w:rsidP="00DE3B8E">
            <w:pPr>
              <w:jc w:val="both"/>
            </w:pPr>
          </w:p>
        </w:tc>
      </w:tr>
      <w:tr w:rsidR="00DE3B8E" w:rsidRPr="00827F88" w14:paraId="19E04BE0" w14:textId="77777777" w:rsidTr="00DE3B8E">
        <w:trPr>
          <w:jc w:val="center"/>
        </w:trPr>
        <w:tc>
          <w:tcPr>
            <w:tcW w:w="665" w:type="pct"/>
            <w:tcMar>
              <w:top w:w="0" w:type="dxa"/>
              <w:left w:w="108" w:type="dxa"/>
              <w:bottom w:w="0" w:type="dxa"/>
              <w:right w:w="108" w:type="dxa"/>
            </w:tcMar>
            <w:vAlign w:val="center"/>
          </w:tcPr>
          <w:p w14:paraId="6CDA297D" w14:textId="33542C5E" w:rsidR="00DE3B8E" w:rsidRPr="00827F88" w:rsidRDefault="00DE3B8E" w:rsidP="00DE3B8E">
            <w:pPr>
              <w:ind w:left="357"/>
              <w:jc w:val="both"/>
              <w:rPr>
                <w:bCs/>
              </w:rPr>
            </w:pPr>
            <w:r w:rsidRPr="00FF7B17">
              <w:rPr>
                <w:rFonts w:eastAsia="Calibri"/>
                <w:sz w:val="22"/>
                <w:szCs w:val="22"/>
              </w:rPr>
              <w:t>1.10</w:t>
            </w:r>
          </w:p>
        </w:tc>
        <w:tc>
          <w:tcPr>
            <w:tcW w:w="3331" w:type="pct"/>
            <w:tcMar>
              <w:top w:w="0" w:type="dxa"/>
              <w:left w:w="108" w:type="dxa"/>
              <w:bottom w:w="0" w:type="dxa"/>
              <w:right w:w="108" w:type="dxa"/>
            </w:tcMar>
            <w:vAlign w:val="center"/>
            <w:hideMark/>
          </w:tcPr>
          <w:p w14:paraId="0876833F" w14:textId="383923E5" w:rsidR="00DE3B8E" w:rsidRPr="00827F88" w:rsidRDefault="00DE3B8E" w:rsidP="00DE3B8E">
            <w:pPr>
              <w:jc w:val="both"/>
            </w:pPr>
            <w:r w:rsidRPr="00FF7B17">
              <w:rPr>
                <w:rFonts w:eastAsia="Calibri"/>
                <w:sz w:val="22"/>
                <w:szCs w:val="22"/>
              </w:rPr>
              <w:t>Seadmel peab olema “pime-punkti” monitooring (Heijl-Krakau “pime-punkti” monitor).</w:t>
            </w:r>
          </w:p>
        </w:tc>
        <w:tc>
          <w:tcPr>
            <w:tcW w:w="1004" w:type="pct"/>
            <w:tcBorders>
              <w:top w:val="single" w:sz="4" w:space="0" w:color="auto"/>
              <w:left w:val="single" w:sz="4" w:space="0" w:color="auto"/>
              <w:bottom w:val="single" w:sz="4" w:space="0" w:color="auto"/>
              <w:right w:val="single" w:sz="4" w:space="0" w:color="auto"/>
            </w:tcBorders>
          </w:tcPr>
          <w:p w14:paraId="4595AB7A" w14:textId="77777777" w:rsidR="00DE3B8E" w:rsidRPr="00827F88" w:rsidRDefault="00DE3B8E" w:rsidP="00DE3B8E">
            <w:pPr>
              <w:jc w:val="both"/>
            </w:pPr>
          </w:p>
        </w:tc>
      </w:tr>
      <w:tr w:rsidR="00DE3B8E" w:rsidRPr="00827F88" w14:paraId="40194DF0" w14:textId="77777777" w:rsidTr="00DE3B8E">
        <w:trPr>
          <w:jc w:val="center"/>
        </w:trPr>
        <w:tc>
          <w:tcPr>
            <w:tcW w:w="665" w:type="pct"/>
            <w:tcMar>
              <w:top w:w="0" w:type="dxa"/>
              <w:left w:w="108" w:type="dxa"/>
              <w:bottom w:w="0" w:type="dxa"/>
              <w:right w:w="108" w:type="dxa"/>
            </w:tcMar>
            <w:vAlign w:val="center"/>
          </w:tcPr>
          <w:p w14:paraId="4CCBA113" w14:textId="0322D765" w:rsidR="00DE3B8E" w:rsidRPr="00827F88" w:rsidRDefault="00DE3B8E" w:rsidP="00DE3B8E">
            <w:pPr>
              <w:ind w:left="357"/>
              <w:jc w:val="both"/>
              <w:rPr>
                <w:bCs/>
              </w:rPr>
            </w:pPr>
            <w:r w:rsidRPr="00FF7B17">
              <w:rPr>
                <w:rFonts w:eastAsia="Calibri"/>
                <w:sz w:val="22"/>
                <w:szCs w:val="22"/>
              </w:rPr>
              <w:t>1.11</w:t>
            </w:r>
          </w:p>
        </w:tc>
        <w:tc>
          <w:tcPr>
            <w:tcW w:w="3331" w:type="pct"/>
            <w:tcMar>
              <w:top w:w="0" w:type="dxa"/>
              <w:left w:w="108" w:type="dxa"/>
              <w:bottom w:w="0" w:type="dxa"/>
              <w:right w:w="108" w:type="dxa"/>
            </w:tcMar>
            <w:vAlign w:val="center"/>
          </w:tcPr>
          <w:p w14:paraId="3AEF216E" w14:textId="2E0130AF" w:rsidR="00DE3B8E" w:rsidRPr="00827F88" w:rsidRDefault="00DE3B8E" w:rsidP="00DE3B8E">
            <w:pPr>
              <w:jc w:val="both"/>
            </w:pPr>
            <w:r w:rsidRPr="00FF7B17">
              <w:rPr>
                <w:rFonts w:eastAsia="Calibri"/>
                <w:sz w:val="22"/>
                <w:szCs w:val="22"/>
              </w:rPr>
              <w:t>Patsiendi pea, silma, pilgu ja tipu fiksatsiooni kontroll.</w:t>
            </w:r>
          </w:p>
        </w:tc>
        <w:tc>
          <w:tcPr>
            <w:tcW w:w="1004" w:type="pct"/>
            <w:tcBorders>
              <w:top w:val="single" w:sz="4" w:space="0" w:color="auto"/>
              <w:left w:val="single" w:sz="4" w:space="0" w:color="auto"/>
              <w:bottom w:val="single" w:sz="4" w:space="0" w:color="auto"/>
              <w:right w:val="single" w:sz="4" w:space="0" w:color="auto"/>
            </w:tcBorders>
          </w:tcPr>
          <w:p w14:paraId="02E25667" w14:textId="77777777" w:rsidR="00DE3B8E" w:rsidRPr="00827F88" w:rsidRDefault="00DE3B8E" w:rsidP="00DE3B8E">
            <w:pPr>
              <w:jc w:val="both"/>
            </w:pPr>
          </w:p>
        </w:tc>
      </w:tr>
      <w:tr w:rsidR="00DE3B8E" w:rsidRPr="00827F88" w14:paraId="684EED6E" w14:textId="77777777" w:rsidTr="00DE3B8E">
        <w:trPr>
          <w:jc w:val="center"/>
        </w:trPr>
        <w:tc>
          <w:tcPr>
            <w:tcW w:w="665" w:type="pct"/>
            <w:tcMar>
              <w:top w:w="0" w:type="dxa"/>
              <w:left w:w="108" w:type="dxa"/>
              <w:bottom w:w="0" w:type="dxa"/>
              <w:right w:w="108" w:type="dxa"/>
            </w:tcMar>
            <w:vAlign w:val="center"/>
          </w:tcPr>
          <w:p w14:paraId="316C9EF1" w14:textId="570B9769" w:rsidR="00DE3B8E" w:rsidRPr="00FF7B17" w:rsidRDefault="00DE3B8E" w:rsidP="00DE3B8E">
            <w:pPr>
              <w:jc w:val="center"/>
              <w:rPr>
                <w:rFonts w:eastAsia="Calibri"/>
                <w:sz w:val="22"/>
                <w:szCs w:val="22"/>
              </w:rPr>
            </w:pPr>
            <w:r w:rsidRPr="00FF7B17">
              <w:rPr>
                <w:rFonts w:eastAsia="Calibri"/>
                <w:sz w:val="22"/>
                <w:szCs w:val="22"/>
              </w:rPr>
              <w:t>1.12</w:t>
            </w:r>
          </w:p>
        </w:tc>
        <w:tc>
          <w:tcPr>
            <w:tcW w:w="3331" w:type="pct"/>
            <w:tcMar>
              <w:top w:w="0" w:type="dxa"/>
              <w:left w:w="108" w:type="dxa"/>
              <w:bottom w:w="0" w:type="dxa"/>
              <w:right w:w="108" w:type="dxa"/>
            </w:tcMar>
            <w:vAlign w:val="center"/>
          </w:tcPr>
          <w:p w14:paraId="2F1A55D3" w14:textId="2D3D26FA" w:rsidR="00DE3B8E" w:rsidRPr="00FF7B17" w:rsidRDefault="00DE3B8E" w:rsidP="00DE3B8E">
            <w:pPr>
              <w:jc w:val="both"/>
              <w:rPr>
                <w:rFonts w:eastAsia="Calibri"/>
                <w:sz w:val="22"/>
                <w:szCs w:val="22"/>
              </w:rPr>
            </w:pPr>
            <w:r w:rsidRPr="00FF7B17">
              <w:rPr>
                <w:rFonts w:eastAsia="Calibri"/>
                <w:sz w:val="22"/>
                <w:szCs w:val="22"/>
              </w:rPr>
              <w:t>Nõutav ealine normatiivne andmebaas</w:t>
            </w:r>
          </w:p>
        </w:tc>
        <w:tc>
          <w:tcPr>
            <w:tcW w:w="1004" w:type="pct"/>
            <w:tcBorders>
              <w:top w:val="single" w:sz="4" w:space="0" w:color="auto"/>
              <w:left w:val="single" w:sz="4" w:space="0" w:color="auto"/>
              <w:bottom w:val="single" w:sz="4" w:space="0" w:color="auto"/>
              <w:right w:val="single" w:sz="4" w:space="0" w:color="auto"/>
            </w:tcBorders>
          </w:tcPr>
          <w:p w14:paraId="205B4410" w14:textId="77777777" w:rsidR="00DE3B8E" w:rsidRPr="00827F88" w:rsidRDefault="00DE3B8E" w:rsidP="00DE3B8E">
            <w:pPr>
              <w:jc w:val="both"/>
            </w:pPr>
          </w:p>
        </w:tc>
      </w:tr>
      <w:tr w:rsidR="00DE3B8E" w:rsidRPr="00827F88" w14:paraId="0A8C6D43" w14:textId="77777777" w:rsidTr="00DE3B8E">
        <w:trPr>
          <w:jc w:val="center"/>
        </w:trPr>
        <w:tc>
          <w:tcPr>
            <w:tcW w:w="665" w:type="pct"/>
            <w:tcMar>
              <w:top w:w="0" w:type="dxa"/>
              <w:left w:w="108" w:type="dxa"/>
              <w:bottom w:w="0" w:type="dxa"/>
              <w:right w:w="108" w:type="dxa"/>
            </w:tcMar>
            <w:vAlign w:val="center"/>
          </w:tcPr>
          <w:p w14:paraId="2270161B" w14:textId="7BBD8B42" w:rsidR="00DE3B8E" w:rsidRPr="00827F88" w:rsidRDefault="00DE3B8E" w:rsidP="00DE3B8E">
            <w:pPr>
              <w:jc w:val="center"/>
              <w:rPr>
                <w:bCs/>
              </w:rPr>
            </w:pPr>
            <w:r w:rsidRPr="00FF7B17">
              <w:rPr>
                <w:rFonts w:eastAsia="Calibri"/>
                <w:sz w:val="22"/>
                <w:szCs w:val="22"/>
              </w:rPr>
              <w:t>1.13</w:t>
            </w:r>
          </w:p>
        </w:tc>
        <w:tc>
          <w:tcPr>
            <w:tcW w:w="3331" w:type="pct"/>
            <w:tcMar>
              <w:top w:w="0" w:type="dxa"/>
              <w:left w:w="108" w:type="dxa"/>
              <w:bottom w:w="0" w:type="dxa"/>
              <w:right w:w="108" w:type="dxa"/>
            </w:tcMar>
            <w:vAlign w:val="center"/>
          </w:tcPr>
          <w:p w14:paraId="410CC4C7" w14:textId="26AA767E" w:rsidR="00DE3B8E" w:rsidRPr="00DF4985" w:rsidRDefault="00DE3B8E" w:rsidP="00DE3B8E">
            <w:pPr>
              <w:jc w:val="both"/>
            </w:pPr>
            <w:r w:rsidRPr="00FF7B17">
              <w:rPr>
                <w:rFonts w:eastAsia="Calibri"/>
                <w:sz w:val="22"/>
                <w:szCs w:val="22"/>
              </w:rPr>
              <w:t>Seadmel peab olema motoriseeritud lõuatugi</w:t>
            </w:r>
          </w:p>
        </w:tc>
        <w:tc>
          <w:tcPr>
            <w:tcW w:w="1004" w:type="pct"/>
            <w:tcBorders>
              <w:top w:val="single" w:sz="4" w:space="0" w:color="auto"/>
              <w:left w:val="single" w:sz="4" w:space="0" w:color="auto"/>
              <w:bottom w:val="single" w:sz="4" w:space="0" w:color="auto"/>
              <w:right w:val="single" w:sz="4" w:space="0" w:color="auto"/>
            </w:tcBorders>
          </w:tcPr>
          <w:p w14:paraId="21E5DE43" w14:textId="77777777" w:rsidR="00DE3B8E" w:rsidRPr="00827F88" w:rsidRDefault="00DE3B8E" w:rsidP="00DE3B8E">
            <w:pPr>
              <w:jc w:val="both"/>
            </w:pPr>
          </w:p>
        </w:tc>
      </w:tr>
      <w:tr w:rsidR="00DE3B8E" w:rsidRPr="00827F88" w14:paraId="5D78F8DC" w14:textId="77777777" w:rsidTr="00DE3B8E">
        <w:trPr>
          <w:jc w:val="center"/>
        </w:trPr>
        <w:tc>
          <w:tcPr>
            <w:tcW w:w="665" w:type="pct"/>
            <w:tcMar>
              <w:top w:w="0" w:type="dxa"/>
              <w:left w:w="108" w:type="dxa"/>
              <w:bottom w:w="0" w:type="dxa"/>
              <w:right w:w="108" w:type="dxa"/>
            </w:tcMar>
            <w:vAlign w:val="center"/>
          </w:tcPr>
          <w:p w14:paraId="76E4E3D1" w14:textId="6A3C8F63" w:rsidR="00DE3B8E" w:rsidRPr="00827F88" w:rsidRDefault="00DE3B8E" w:rsidP="00DE3B8E">
            <w:pPr>
              <w:jc w:val="center"/>
              <w:rPr>
                <w:bCs/>
              </w:rPr>
            </w:pPr>
            <w:r w:rsidRPr="00FF7B17">
              <w:rPr>
                <w:rFonts w:eastAsia="Calibri"/>
                <w:sz w:val="22"/>
                <w:szCs w:val="22"/>
              </w:rPr>
              <w:t>1.14</w:t>
            </w:r>
          </w:p>
        </w:tc>
        <w:tc>
          <w:tcPr>
            <w:tcW w:w="3331" w:type="pct"/>
            <w:tcMar>
              <w:top w:w="0" w:type="dxa"/>
              <w:left w:w="108" w:type="dxa"/>
              <w:bottom w:w="0" w:type="dxa"/>
              <w:right w:w="108" w:type="dxa"/>
            </w:tcMar>
            <w:vAlign w:val="center"/>
          </w:tcPr>
          <w:p w14:paraId="4604C7B4" w14:textId="628CB0E6" w:rsidR="00DE3B8E" w:rsidRPr="00DF4985" w:rsidRDefault="00DE3B8E" w:rsidP="00DE3B8E">
            <w:pPr>
              <w:jc w:val="both"/>
            </w:pPr>
            <w:r w:rsidRPr="00FF7B17">
              <w:rPr>
                <w:rFonts w:eastAsia="Calibri"/>
                <w:sz w:val="22"/>
                <w:szCs w:val="22"/>
              </w:rPr>
              <w:t>Nõutud on DICOM ühenduvus uuringu tulemuste saatmise ja worklisti vastuvõtmisega.</w:t>
            </w:r>
          </w:p>
        </w:tc>
        <w:tc>
          <w:tcPr>
            <w:tcW w:w="1004" w:type="pct"/>
            <w:tcBorders>
              <w:top w:val="single" w:sz="4" w:space="0" w:color="auto"/>
              <w:left w:val="single" w:sz="4" w:space="0" w:color="auto"/>
              <w:bottom w:val="single" w:sz="4" w:space="0" w:color="auto"/>
              <w:right w:val="single" w:sz="4" w:space="0" w:color="auto"/>
            </w:tcBorders>
          </w:tcPr>
          <w:p w14:paraId="406E2B1E" w14:textId="77777777" w:rsidR="00DE3B8E" w:rsidRPr="00827F88" w:rsidRDefault="00DE3B8E" w:rsidP="00DE3B8E">
            <w:pPr>
              <w:jc w:val="both"/>
            </w:pPr>
          </w:p>
        </w:tc>
      </w:tr>
      <w:tr w:rsidR="00DE3B8E" w:rsidRPr="00827F88" w14:paraId="62BAF4C1" w14:textId="77777777" w:rsidTr="00DE3B8E">
        <w:trPr>
          <w:jc w:val="center"/>
        </w:trPr>
        <w:tc>
          <w:tcPr>
            <w:tcW w:w="665" w:type="pct"/>
            <w:tcMar>
              <w:top w:w="0" w:type="dxa"/>
              <w:left w:w="108" w:type="dxa"/>
              <w:bottom w:w="0" w:type="dxa"/>
              <w:right w:w="108" w:type="dxa"/>
            </w:tcMar>
            <w:vAlign w:val="center"/>
          </w:tcPr>
          <w:p w14:paraId="0D503989" w14:textId="13DA61C6" w:rsidR="00DE3B8E" w:rsidRPr="00827F88" w:rsidRDefault="00DE3B8E" w:rsidP="00DE3B8E">
            <w:pPr>
              <w:jc w:val="center"/>
              <w:rPr>
                <w:bCs/>
              </w:rPr>
            </w:pPr>
            <w:r w:rsidRPr="00FF7B17">
              <w:rPr>
                <w:rFonts w:eastAsia="Calibri"/>
                <w:sz w:val="22"/>
                <w:szCs w:val="22"/>
              </w:rPr>
              <w:t>1.15</w:t>
            </w:r>
          </w:p>
        </w:tc>
        <w:tc>
          <w:tcPr>
            <w:tcW w:w="3331" w:type="pct"/>
            <w:tcMar>
              <w:top w:w="0" w:type="dxa"/>
              <w:left w:w="108" w:type="dxa"/>
              <w:bottom w:w="0" w:type="dxa"/>
              <w:right w:w="108" w:type="dxa"/>
            </w:tcMar>
            <w:vAlign w:val="center"/>
          </w:tcPr>
          <w:p w14:paraId="754EB530" w14:textId="77777777" w:rsidR="00DE3B8E" w:rsidRPr="00FF7B17" w:rsidRDefault="00DE3B8E" w:rsidP="00DE3B8E">
            <w:pPr>
              <w:spacing w:line="360" w:lineRule="auto"/>
              <w:ind w:left="113"/>
              <w:rPr>
                <w:rFonts w:eastAsia="Calibri"/>
                <w:sz w:val="22"/>
                <w:szCs w:val="22"/>
              </w:rPr>
            </w:pPr>
            <w:r w:rsidRPr="00FF7B17">
              <w:rPr>
                <w:rFonts w:eastAsia="Calibri"/>
                <w:sz w:val="22"/>
                <w:szCs w:val="22"/>
              </w:rPr>
              <w:t>Kõik patsientide uuringud peavad saama arhiveeritud ning olema kasutatavad järgmiste visiitide ajal.</w:t>
            </w:r>
          </w:p>
          <w:p w14:paraId="59BC0693" w14:textId="6789ECF1" w:rsidR="00DE3B8E" w:rsidRPr="00DF4985" w:rsidRDefault="00DE3B8E" w:rsidP="00DE3B8E">
            <w:pPr>
              <w:jc w:val="both"/>
            </w:pPr>
            <w:r w:rsidRPr="00FF7B17">
              <w:rPr>
                <w:rFonts w:eastAsia="Calibri"/>
                <w:sz w:val="22"/>
                <w:szCs w:val="22"/>
              </w:rPr>
              <w:t>Andmed kättesaadavad FORUM-is erinevatel töökohtadel.</w:t>
            </w:r>
          </w:p>
        </w:tc>
        <w:tc>
          <w:tcPr>
            <w:tcW w:w="1004" w:type="pct"/>
            <w:tcBorders>
              <w:top w:val="single" w:sz="4" w:space="0" w:color="auto"/>
              <w:left w:val="single" w:sz="4" w:space="0" w:color="auto"/>
              <w:bottom w:val="single" w:sz="4" w:space="0" w:color="auto"/>
              <w:right w:val="single" w:sz="4" w:space="0" w:color="auto"/>
            </w:tcBorders>
          </w:tcPr>
          <w:p w14:paraId="1D550C06" w14:textId="77777777" w:rsidR="00DE3B8E" w:rsidRPr="00827F88" w:rsidRDefault="00DE3B8E" w:rsidP="00DE3B8E">
            <w:pPr>
              <w:jc w:val="both"/>
            </w:pPr>
          </w:p>
        </w:tc>
      </w:tr>
      <w:tr w:rsidR="00DE3B8E" w:rsidRPr="00827F88" w14:paraId="5C5ED0DA" w14:textId="77777777" w:rsidTr="00DE3B8E">
        <w:trPr>
          <w:jc w:val="center"/>
        </w:trPr>
        <w:tc>
          <w:tcPr>
            <w:tcW w:w="665" w:type="pct"/>
            <w:tcMar>
              <w:top w:w="0" w:type="dxa"/>
              <w:left w:w="108" w:type="dxa"/>
              <w:bottom w:w="0" w:type="dxa"/>
              <w:right w:w="108" w:type="dxa"/>
            </w:tcMar>
            <w:vAlign w:val="center"/>
          </w:tcPr>
          <w:p w14:paraId="6D435C6C" w14:textId="78BE93D1" w:rsidR="00DE3B8E" w:rsidRPr="00827F88" w:rsidRDefault="00DE3B8E" w:rsidP="00DE3B8E">
            <w:pPr>
              <w:jc w:val="center"/>
              <w:rPr>
                <w:bCs/>
              </w:rPr>
            </w:pPr>
            <w:r w:rsidRPr="00FF7B17">
              <w:rPr>
                <w:rFonts w:eastAsia="Calibri"/>
                <w:sz w:val="22"/>
                <w:szCs w:val="22"/>
              </w:rPr>
              <w:t>1.16</w:t>
            </w:r>
          </w:p>
        </w:tc>
        <w:tc>
          <w:tcPr>
            <w:tcW w:w="3331" w:type="pct"/>
            <w:tcMar>
              <w:top w:w="0" w:type="dxa"/>
              <w:left w:w="108" w:type="dxa"/>
              <w:bottom w:w="0" w:type="dxa"/>
              <w:right w:w="108" w:type="dxa"/>
            </w:tcMar>
            <w:vAlign w:val="center"/>
          </w:tcPr>
          <w:p w14:paraId="4C3D9EA8" w14:textId="3A9FC2D3" w:rsidR="00DE3B8E" w:rsidRPr="00DF4985" w:rsidRDefault="00DE3B8E" w:rsidP="00DE3B8E">
            <w:pPr>
              <w:jc w:val="both"/>
            </w:pPr>
            <w:r w:rsidRPr="00FF7B17">
              <w:rPr>
                <w:rFonts w:eastAsia="Calibri"/>
                <w:sz w:val="22"/>
                <w:szCs w:val="22"/>
              </w:rPr>
              <w:t>Seade peab võimaldama automaatselt hinnata patsiendi seisundi muutusi põhinedes varasematele uuringutel</w:t>
            </w:r>
          </w:p>
        </w:tc>
        <w:tc>
          <w:tcPr>
            <w:tcW w:w="1004" w:type="pct"/>
            <w:tcBorders>
              <w:top w:val="single" w:sz="4" w:space="0" w:color="auto"/>
              <w:left w:val="single" w:sz="4" w:space="0" w:color="auto"/>
              <w:bottom w:val="single" w:sz="4" w:space="0" w:color="auto"/>
              <w:right w:val="single" w:sz="4" w:space="0" w:color="auto"/>
            </w:tcBorders>
          </w:tcPr>
          <w:p w14:paraId="72FC83F2" w14:textId="77777777" w:rsidR="00DE3B8E" w:rsidRPr="00827F88" w:rsidRDefault="00DE3B8E" w:rsidP="00DE3B8E">
            <w:pPr>
              <w:jc w:val="both"/>
            </w:pPr>
          </w:p>
        </w:tc>
      </w:tr>
      <w:tr w:rsidR="00DE3B8E" w:rsidRPr="00827F88" w14:paraId="18724104" w14:textId="77777777" w:rsidTr="00DE3B8E">
        <w:trPr>
          <w:jc w:val="center"/>
        </w:trPr>
        <w:tc>
          <w:tcPr>
            <w:tcW w:w="665" w:type="pct"/>
            <w:tcMar>
              <w:top w:w="0" w:type="dxa"/>
              <w:left w:w="108" w:type="dxa"/>
              <w:bottom w:w="0" w:type="dxa"/>
              <w:right w:w="108" w:type="dxa"/>
            </w:tcMar>
            <w:vAlign w:val="center"/>
          </w:tcPr>
          <w:p w14:paraId="401CE3EE" w14:textId="1E01E12F" w:rsidR="00DE3B8E" w:rsidRPr="00827F88" w:rsidRDefault="00DE3B8E" w:rsidP="00DE3B8E">
            <w:pPr>
              <w:ind w:left="357"/>
              <w:jc w:val="both"/>
              <w:rPr>
                <w:b/>
                <w:bCs/>
              </w:rPr>
            </w:pPr>
            <w:r w:rsidRPr="00FF7B17">
              <w:rPr>
                <w:rFonts w:eastAsia="Calibri"/>
                <w:sz w:val="22"/>
                <w:szCs w:val="22"/>
              </w:rPr>
              <w:t>1.17</w:t>
            </w:r>
          </w:p>
        </w:tc>
        <w:tc>
          <w:tcPr>
            <w:tcW w:w="3331" w:type="pct"/>
            <w:tcMar>
              <w:top w:w="0" w:type="dxa"/>
              <w:left w:w="108" w:type="dxa"/>
              <w:bottom w:w="0" w:type="dxa"/>
              <w:right w:w="108" w:type="dxa"/>
            </w:tcMar>
            <w:vAlign w:val="center"/>
            <w:hideMark/>
          </w:tcPr>
          <w:p w14:paraId="2F60EDD0" w14:textId="35DB6B10" w:rsidR="00DE3B8E" w:rsidRPr="00827F88" w:rsidRDefault="00DE3B8E" w:rsidP="00DE3B8E">
            <w:pPr>
              <w:jc w:val="both"/>
              <w:rPr>
                <w:b/>
                <w:bCs/>
              </w:rPr>
            </w:pPr>
            <w:r w:rsidRPr="00FF7B17">
              <w:rPr>
                <w:rFonts w:eastAsia="Calibri"/>
                <w:sz w:val="22"/>
                <w:szCs w:val="22"/>
              </w:rPr>
              <w:t>Kasutajaliides: LCD puuteekraan ja klaviatuur.</w:t>
            </w:r>
          </w:p>
        </w:tc>
        <w:tc>
          <w:tcPr>
            <w:tcW w:w="1004" w:type="pct"/>
            <w:tcBorders>
              <w:top w:val="single" w:sz="4" w:space="0" w:color="auto"/>
              <w:left w:val="single" w:sz="4" w:space="0" w:color="auto"/>
              <w:bottom w:val="single" w:sz="4" w:space="0" w:color="auto"/>
              <w:right w:val="single" w:sz="4" w:space="0" w:color="auto"/>
            </w:tcBorders>
          </w:tcPr>
          <w:p w14:paraId="349021ED" w14:textId="77777777" w:rsidR="00DE3B8E" w:rsidRPr="00827F88" w:rsidRDefault="00DE3B8E" w:rsidP="00DE3B8E">
            <w:pPr>
              <w:jc w:val="both"/>
              <w:rPr>
                <w:b/>
                <w:bCs/>
              </w:rPr>
            </w:pPr>
          </w:p>
        </w:tc>
      </w:tr>
      <w:tr w:rsidR="00DE3B8E" w:rsidRPr="00827F88" w14:paraId="78E6E6E8" w14:textId="77777777" w:rsidTr="00DE3B8E">
        <w:trPr>
          <w:jc w:val="center"/>
        </w:trPr>
        <w:tc>
          <w:tcPr>
            <w:tcW w:w="665" w:type="pct"/>
            <w:tcMar>
              <w:top w:w="0" w:type="dxa"/>
              <w:left w:w="108" w:type="dxa"/>
              <w:bottom w:w="0" w:type="dxa"/>
              <w:right w:w="108" w:type="dxa"/>
            </w:tcMar>
            <w:vAlign w:val="center"/>
          </w:tcPr>
          <w:p w14:paraId="7234E79A" w14:textId="3DA70939" w:rsidR="00DE3B8E" w:rsidRPr="00827F88" w:rsidRDefault="00DE3B8E" w:rsidP="00DE3B8E">
            <w:pPr>
              <w:ind w:left="357"/>
              <w:jc w:val="both"/>
              <w:rPr>
                <w:b/>
                <w:bCs/>
              </w:rPr>
            </w:pPr>
            <w:r w:rsidRPr="00FF7B17">
              <w:rPr>
                <w:rFonts w:eastAsia="Calibri"/>
                <w:sz w:val="22"/>
                <w:szCs w:val="22"/>
              </w:rPr>
              <w:t>1.18</w:t>
            </w:r>
          </w:p>
        </w:tc>
        <w:tc>
          <w:tcPr>
            <w:tcW w:w="3331" w:type="pct"/>
            <w:tcMar>
              <w:top w:w="0" w:type="dxa"/>
              <w:left w:w="108" w:type="dxa"/>
              <w:bottom w:w="0" w:type="dxa"/>
              <w:right w:w="108" w:type="dxa"/>
            </w:tcMar>
            <w:vAlign w:val="center"/>
            <w:hideMark/>
          </w:tcPr>
          <w:p w14:paraId="72A60524" w14:textId="0E9B9C45" w:rsidR="00DE3B8E" w:rsidRPr="00827F88" w:rsidRDefault="00DE3B8E" w:rsidP="00DE3B8E">
            <w:pPr>
              <w:jc w:val="both"/>
              <w:rPr>
                <w:bCs/>
              </w:rPr>
            </w:pPr>
            <w:r w:rsidRPr="00FF7B17">
              <w:rPr>
                <w:rFonts w:eastAsia="Calibri"/>
                <w:sz w:val="22"/>
                <w:szCs w:val="22"/>
              </w:rPr>
              <w:t xml:space="preserve">Komplekti kuulub elektrilise kõrguse reguleerimise funktsiooniga laud. </w:t>
            </w:r>
          </w:p>
        </w:tc>
        <w:tc>
          <w:tcPr>
            <w:tcW w:w="1004" w:type="pct"/>
            <w:tcBorders>
              <w:top w:val="single" w:sz="4" w:space="0" w:color="auto"/>
              <w:left w:val="single" w:sz="4" w:space="0" w:color="auto"/>
              <w:bottom w:val="single" w:sz="4" w:space="0" w:color="auto"/>
              <w:right w:val="single" w:sz="4" w:space="0" w:color="auto"/>
            </w:tcBorders>
          </w:tcPr>
          <w:p w14:paraId="66201C34" w14:textId="77777777" w:rsidR="00DE3B8E" w:rsidRPr="00827F88" w:rsidRDefault="00DE3B8E" w:rsidP="00DE3B8E">
            <w:pPr>
              <w:jc w:val="both"/>
              <w:rPr>
                <w:bCs/>
              </w:rPr>
            </w:pPr>
          </w:p>
        </w:tc>
      </w:tr>
      <w:tr w:rsidR="00DE3B8E" w:rsidRPr="00827F88" w14:paraId="3625CD5F" w14:textId="77777777" w:rsidTr="00DE3B8E">
        <w:trPr>
          <w:jc w:val="center"/>
        </w:trPr>
        <w:tc>
          <w:tcPr>
            <w:tcW w:w="665" w:type="pct"/>
            <w:tcMar>
              <w:top w:w="0" w:type="dxa"/>
              <w:left w:w="108" w:type="dxa"/>
              <w:bottom w:w="0" w:type="dxa"/>
              <w:right w:w="108" w:type="dxa"/>
            </w:tcMar>
            <w:vAlign w:val="center"/>
          </w:tcPr>
          <w:p w14:paraId="4D354153" w14:textId="02C6B2E0" w:rsidR="00DE3B8E" w:rsidRPr="00827F88" w:rsidRDefault="00DE3B8E" w:rsidP="00DE3B8E">
            <w:pPr>
              <w:ind w:left="357"/>
              <w:jc w:val="both"/>
              <w:rPr>
                <w:b/>
                <w:bCs/>
              </w:rPr>
            </w:pPr>
            <w:r>
              <w:rPr>
                <w:rFonts w:eastAsia="Calibri"/>
                <w:sz w:val="22"/>
                <w:szCs w:val="22"/>
              </w:rPr>
              <w:t>1.19</w:t>
            </w:r>
          </w:p>
        </w:tc>
        <w:tc>
          <w:tcPr>
            <w:tcW w:w="3331" w:type="pct"/>
            <w:tcMar>
              <w:top w:w="0" w:type="dxa"/>
              <w:left w:w="108" w:type="dxa"/>
              <w:bottom w:w="0" w:type="dxa"/>
              <w:right w:w="108" w:type="dxa"/>
            </w:tcMar>
            <w:vAlign w:val="center"/>
          </w:tcPr>
          <w:p w14:paraId="0F17EE7D" w14:textId="05D93A60" w:rsidR="00DE3B8E" w:rsidRPr="00827F88" w:rsidRDefault="00DE3B8E" w:rsidP="00DE3B8E">
            <w:pPr>
              <w:jc w:val="both"/>
              <w:rPr>
                <w:bCs/>
              </w:rPr>
            </w:pPr>
            <w:r w:rsidRPr="00FF7B17">
              <w:rPr>
                <w:rFonts w:eastAsia="Calibri"/>
                <w:sz w:val="22"/>
                <w:szCs w:val="22"/>
              </w:rPr>
              <w:t>Võimaldab nägemisnärvi struktuuri ja funktsiooni analüüsi, mis on  teostatav kasutades perimeetria ja OCT CIRRUS andmeid.</w:t>
            </w:r>
          </w:p>
        </w:tc>
        <w:tc>
          <w:tcPr>
            <w:tcW w:w="1004" w:type="pct"/>
            <w:tcBorders>
              <w:top w:val="single" w:sz="4" w:space="0" w:color="auto"/>
              <w:left w:val="single" w:sz="4" w:space="0" w:color="auto"/>
              <w:bottom w:val="single" w:sz="4" w:space="0" w:color="auto"/>
              <w:right w:val="single" w:sz="4" w:space="0" w:color="auto"/>
            </w:tcBorders>
          </w:tcPr>
          <w:p w14:paraId="2424E304" w14:textId="77777777" w:rsidR="00DE3B8E" w:rsidRPr="00827F88" w:rsidRDefault="00DE3B8E" w:rsidP="00DE3B8E">
            <w:pPr>
              <w:jc w:val="both"/>
              <w:rPr>
                <w:bCs/>
              </w:rPr>
            </w:pPr>
          </w:p>
        </w:tc>
      </w:tr>
      <w:tr w:rsidR="00DE3B8E" w:rsidRPr="00827F88" w14:paraId="03099B4D" w14:textId="77777777" w:rsidTr="00DE3B8E">
        <w:trPr>
          <w:jc w:val="center"/>
        </w:trPr>
        <w:tc>
          <w:tcPr>
            <w:tcW w:w="665" w:type="pct"/>
            <w:tcMar>
              <w:top w:w="0" w:type="dxa"/>
              <w:left w:w="108" w:type="dxa"/>
              <w:bottom w:w="0" w:type="dxa"/>
              <w:right w:w="108" w:type="dxa"/>
            </w:tcMar>
            <w:vAlign w:val="center"/>
          </w:tcPr>
          <w:p w14:paraId="48AB7487" w14:textId="358A8265" w:rsidR="00DE3B8E" w:rsidRPr="004A6C0C" w:rsidRDefault="00DE3B8E" w:rsidP="00DE3B8E">
            <w:pPr>
              <w:jc w:val="center"/>
              <w:rPr>
                <w:b/>
              </w:rPr>
            </w:pPr>
            <w:r>
              <w:rPr>
                <w:rFonts w:eastAsia="Calibri"/>
                <w:sz w:val="22"/>
                <w:szCs w:val="22"/>
              </w:rPr>
              <w:t>1.20</w:t>
            </w:r>
          </w:p>
        </w:tc>
        <w:tc>
          <w:tcPr>
            <w:tcW w:w="3331" w:type="pct"/>
            <w:tcMar>
              <w:top w:w="0" w:type="dxa"/>
              <w:left w:w="108" w:type="dxa"/>
              <w:bottom w:w="0" w:type="dxa"/>
              <w:right w:w="108" w:type="dxa"/>
            </w:tcMar>
            <w:vAlign w:val="center"/>
          </w:tcPr>
          <w:p w14:paraId="0CD7BA03" w14:textId="6551125F" w:rsidR="00DE3B8E" w:rsidRPr="00827F88" w:rsidRDefault="00DE3B8E" w:rsidP="00DE3B8E">
            <w:pPr>
              <w:jc w:val="both"/>
              <w:rPr>
                <w:bCs/>
              </w:rPr>
            </w:pPr>
            <w:r w:rsidRPr="00FF7B17">
              <w:rPr>
                <w:rFonts w:eastAsia="Calibri"/>
                <w:sz w:val="22"/>
                <w:szCs w:val="22"/>
              </w:rPr>
              <w:t>Võimaldab vaadelda ning võrrelda patsiendi perimeetria ajalugu ning teostada glaukoomi progressiooni analüüsi.</w:t>
            </w:r>
          </w:p>
        </w:tc>
        <w:tc>
          <w:tcPr>
            <w:tcW w:w="1004" w:type="pct"/>
            <w:tcBorders>
              <w:top w:val="single" w:sz="4" w:space="0" w:color="auto"/>
              <w:left w:val="single" w:sz="4" w:space="0" w:color="auto"/>
              <w:bottom w:val="single" w:sz="4" w:space="0" w:color="auto"/>
              <w:right w:val="single" w:sz="4" w:space="0" w:color="auto"/>
            </w:tcBorders>
          </w:tcPr>
          <w:p w14:paraId="4B07BDCF" w14:textId="77777777" w:rsidR="00DE3B8E" w:rsidRPr="00827F88" w:rsidRDefault="00DE3B8E" w:rsidP="00DE3B8E">
            <w:pPr>
              <w:jc w:val="both"/>
              <w:rPr>
                <w:bCs/>
              </w:rPr>
            </w:pPr>
          </w:p>
        </w:tc>
      </w:tr>
      <w:tr w:rsidR="00DE3B8E" w:rsidRPr="00827F88" w14:paraId="2A0C9F75" w14:textId="77777777" w:rsidTr="00DE3B8E">
        <w:trPr>
          <w:jc w:val="center"/>
        </w:trPr>
        <w:tc>
          <w:tcPr>
            <w:tcW w:w="665" w:type="pct"/>
            <w:tcMar>
              <w:top w:w="0" w:type="dxa"/>
              <w:left w:w="108" w:type="dxa"/>
              <w:bottom w:w="0" w:type="dxa"/>
              <w:right w:w="108" w:type="dxa"/>
            </w:tcMar>
            <w:vAlign w:val="center"/>
          </w:tcPr>
          <w:p w14:paraId="2EF8DCAB" w14:textId="4E826A3A" w:rsidR="00DE3B8E" w:rsidRPr="004A6C0C" w:rsidRDefault="00DE3B8E" w:rsidP="00DE3B8E">
            <w:pPr>
              <w:jc w:val="center"/>
            </w:pPr>
            <w:r>
              <w:rPr>
                <w:rFonts w:eastAsia="Calibri"/>
                <w:sz w:val="22"/>
                <w:szCs w:val="22"/>
              </w:rPr>
              <w:t>1.21</w:t>
            </w:r>
          </w:p>
        </w:tc>
        <w:tc>
          <w:tcPr>
            <w:tcW w:w="3331" w:type="pct"/>
            <w:tcMar>
              <w:top w:w="0" w:type="dxa"/>
              <w:left w:w="108" w:type="dxa"/>
              <w:bottom w:w="0" w:type="dxa"/>
              <w:right w:w="108" w:type="dxa"/>
            </w:tcMar>
            <w:vAlign w:val="center"/>
          </w:tcPr>
          <w:p w14:paraId="1C365C12" w14:textId="2A567397" w:rsidR="00DE3B8E" w:rsidRPr="00827F88" w:rsidRDefault="00DE3B8E" w:rsidP="00DE3B8E">
            <w:pPr>
              <w:jc w:val="both"/>
              <w:rPr>
                <w:bCs/>
              </w:rPr>
            </w:pPr>
            <w:r w:rsidRPr="00FF7B17">
              <w:rPr>
                <w:rFonts w:eastAsia="Calibri"/>
                <w:sz w:val="22"/>
                <w:szCs w:val="22"/>
              </w:rPr>
              <w:t>Võimaldab teostada manuaalse valikuga ja automaatseid perimeetria ja OCT kombineeritud raporteid</w:t>
            </w:r>
          </w:p>
        </w:tc>
        <w:tc>
          <w:tcPr>
            <w:tcW w:w="1004" w:type="pct"/>
            <w:tcBorders>
              <w:top w:val="single" w:sz="4" w:space="0" w:color="auto"/>
              <w:left w:val="single" w:sz="4" w:space="0" w:color="auto"/>
              <w:bottom w:val="single" w:sz="4" w:space="0" w:color="auto"/>
              <w:right w:val="single" w:sz="4" w:space="0" w:color="auto"/>
            </w:tcBorders>
          </w:tcPr>
          <w:p w14:paraId="6C76F11C" w14:textId="77777777" w:rsidR="00DE3B8E" w:rsidRPr="00827F88" w:rsidRDefault="00DE3B8E" w:rsidP="00DE3B8E">
            <w:pPr>
              <w:jc w:val="both"/>
              <w:rPr>
                <w:bCs/>
              </w:rPr>
            </w:pPr>
          </w:p>
        </w:tc>
      </w:tr>
      <w:tr w:rsidR="00DE3B8E" w:rsidRPr="00827F88" w14:paraId="0A6166DA" w14:textId="77777777" w:rsidTr="00DE3B8E">
        <w:trPr>
          <w:jc w:val="center"/>
        </w:trPr>
        <w:tc>
          <w:tcPr>
            <w:tcW w:w="665" w:type="pct"/>
            <w:tcMar>
              <w:top w:w="0" w:type="dxa"/>
              <w:left w:w="108" w:type="dxa"/>
              <w:bottom w:w="0" w:type="dxa"/>
              <w:right w:w="108" w:type="dxa"/>
            </w:tcMar>
            <w:vAlign w:val="center"/>
          </w:tcPr>
          <w:p w14:paraId="2769221B" w14:textId="15F73D7B" w:rsidR="00DE3B8E" w:rsidRPr="004A6C0C" w:rsidRDefault="00DE3B8E" w:rsidP="00DE3B8E">
            <w:pPr>
              <w:jc w:val="center"/>
            </w:pPr>
            <w:r>
              <w:rPr>
                <w:rFonts w:eastAsia="Calibri"/>
                <w:sz w:val="22"/>
                <w:szCs w:val="22"/>
              </w:rPr>
              <w:t>1.22</w:t>
            </w:r>
          </w:p>
        </w:tc>
        <w:tc>
          <w:tcPr>
            <w:tcW w:w="3331" w:type="pct"/>
            <w:tcMar>
              <w:top w:w="0" w:type="dxa"/>
              <w:left w:w="108" w:type="dxa"/>
              <w:bottom w:w="0" w:type="dxa"/>
              <w:right w:w="108" w:type="dxa"/>
            </w:tcMar>
            <w:vAlign w:val="center"/>
          </w:tcPr>
          <w:p w14:paraId="074E39BB" w14:textId="6095DE8B" w:rsidR="00DE3B8E" w:rsidRPr="00827F88" w:rsidRDefault="00DE3B8E" w:rsidP="00DE3B8E">
            <w:pPr>
              <w:jc w:val="both"/>
              <w:rPr>
                <w:bCs/>
              </w:rPr>
            </w:pPr>
            <w:r w:rsidRPr="00FF7B17">
              <w:rPr>
                <w:rFonts w:eastAsia="Calibri"/>
                <w:sz w:val="22"/>
                <w:szCs w:val="22"/>
              </w:rPr>
              <w:t>Võimaldab sisestada patsiendi andmeid ja avada uuringuid töökohas või vaadata uuringute raporteid. Muuta patsiendi andmeid, parandada lisada väliseid dokumente, kommentaare ja DICOM failide importi.</w:t>
            </w:r>
          </w:p>
        </w:tc>
        <w:tc>
          <w:tcPr>
            <w:tcW w:w="1004" w:type="pct"/>
            <w:tcBorders>
              <w:top w:val="single" w:sz="4" w:space="0" w:color="auto"/>
              <w:left w:val="single" w:sz="4" w:space="0" w:color="auto"/>
              <w:bottom w:val="single" w:sz="4" w:space="0" w:color="auto"/>
              <w:right w:val="single" w:sz="4" w:space="0" w:color="auto"/>
            </w:tcBorders>
          </w:tcPr>
          <w:p w14:paraId="5F097F31" w14:textId="77777777" w:rsidR="00DE3B8E" w:rsidRPr="00827F88" w:rsidRDefault="00DE3B8E" w:rsidP="00DE3B8E">
            <w:pPr>
              <w:jc w:val="both"/>
              <w:rPr>
                <w:bCs/>
              </w:rPr>
            </w:pPr>
          </w:p>
        </w:tc>
      </w:tr>
      <w:tr w:rsidR="00DE3B8E" w:rsidRPr="00827F88" w14:paraId="7317DE2E" w14:textId="77777777" w:rsidTr="00DE3B8E">
        <w:trPr>
          <w:jc w:val="center"/>
        </w:trPr>
        <w:tc>
          <w:tcPr>
            <w:tcW w:w="665" w:type="pct"/>
            <w:tcMar>
              <w:top w:w="0" w:type="dxa"/>
              <w:left w:w="108" w:type="dxa"/>
              <w:bottom w:w="0" w:type="dxa"/>
              <w:right w:w="108" w:type="dxa"/>
            </w:tcMar>
            <w:vAlign w:val="center"/>
          </w:tcPr>
          <w:p w14:paraId="5BE58280" w14:textId="17B77F7F" w:rsidR="00DE3B8E" w:rsidRPr="004A6C0C" w:rsidRDefault="00DE3B8E" w:rsidP="00DE3B8E">
            <w:pPr>
              <w:jc w:val="both"/>
            </w:pPr>
            <w:r w:rsidRPr="00FF7B17">
              <w:rPr>
                <w:rFonts w:eastAsia="Calibri"/>
                <w:b/>
                <w:sz w:val="22"/>
                <w:szCs w:val="22"/>
              </w:rPr>
              <w:t>3.</w:t>
            </w:r>
          </w:p>
        </w:tc>
        <w:tc>
          <w:tcPr>
            <w:tcW w:w="3331" w:type="pct"/>
            <w:tcMar>
              <w:top w:w="0" w:type="dxa"/>
              <w:left w:w="108" w:type="dxa"/>
              <w:bottom w:w="0" w:type="dxa"/>
              <w:right w:w="108" w:type="dxa"/>
            </w:tcMar>
            <w:vAlign w:val="center"/>
          </w:tcPr>
          <w:p w14:paraId="0ECC4258" w14:textId="05F7EB0E" w:rsidR="00DE3B8E" w:rsidRPr="00827F88" w:rsidRDefault="00DE3B8E" w:rsidP="00DE3B8E">
            <w:pPr>
              <w:jc w:val="both"/>
              <w:rPr>
                <w:bCs/>
              </w:rPr>
            </w:pPr>
            <w:r w:rsidRPr="00FF7B17">
              <w:rPr>
                <w:rFonts w:eastAsia="Calibri"/>
                <w:b/>
                <w:sz w:val="22"/>
                <w:szCs w:val="22"/>
              </w:rPr>
              <w:t>Garantii- ja hooldetingimused</w:t>
            </w:r>
          </w:p>
        </w:tc>
        <w:tc>
          <w:tcPr>
            <w:tcW w:w="1004" w:type="pct"/>
            <w:tcBorders>
              <w:top w:val="single" w:sz="4" w:space="0" w:color="auto"/>
              <w:left w:val="single" w:sz="4" w:space="0" w:color="auto"/>
              <w:bottom w:val="single" w:sz="4" w:space="0" w:color="auto"/>
              <w:right w:val="single" w:sz="4" w:space="0" w:color="auto"/>
            </w:tcBorders>
          </w:tcPr>
          <w:p w14:paraId="4D19D547" w14:textId="77777777" w:rsidR="00DE3B8E" w:rsidRPr="00827F88" w:rsidRDefault="00DE3B8E" w:rsidP="00DE3B8E">
            <w:pPr>
              <w:jc w:val="both"/>
              <w:rPr>
                <w:bCs/>
              </w:rPr>
            </w:pPr>
          </w:p>
        </w:tc>
      </w:tr>
      <w:tr w:rsidR="00DE3B8E" w:rsidRPr="00827F88" w14:paraId="7DDD806F" w14:textId="77777777" w:rsidTr="00DE3B8E">
        <w:trPr>
          <w:jc w:val="center"/>
        </w:trPr>
        <w:tc>
          <w:tcPr>
            <w:tcW w:w="665" w:type="pct"/>
            <w:tcMar>
              <w:top w:w="0" w:type="dxa"/>
              <w:left w:w="108" w:type="dxa"/>
              <w:bottom w:w="0" w:type="dxa"/>
              <w:right w:w="108" w:type="dxa"/>
            </w:tcMar>
            <w:vAlign w:val="center"/>
          </w:tcPr>
          <w:p w14:paraId="58294319" w14:textId="2D029B3B" w:rsidR="00DE3B8E" w:rsidRPr="004A6C0C" w:rsidRDefault="00DE3B8E" w:rsidP="00DE3B8E">
            <w:pPr>
              <w:jc w:val="both"/>
              <w:rPr>
                <w:b/>
              </w:rPr>
            </w:pPr>
            <w:r w:rsidRPr="00FF7B17">
              <w:rPr>
                <w:rFonts w:eastAsia="Calibri"/>
                <w:sz w:val="22"/>
                <w:szCs w:val="22"/>
              </w:rPr>
              <w:lastRenderedPageBreak/>
              <w:t>3.1</w:t>
            </w:r>
          </w:p>
        </w:tc>
        <w:tc>
          <w:tcPr>
            <w:tcW w:w="3331" w:type="pct"/>
            <w:tcMar>
              <w:top w:w="0" w:type="dxa"/>
              <w:left w:w="108" w:type="dxa"/>
              <w:bottom w:w="0" w:type="dxa"/>
              <w:right w:w="108" w:type="dxa"/>
            </w:tcMar>
            <w:vAlign w:val="center"/>
          </w:tcPr>
          <w:p w14:paraId="0FA5B28A" w14:textId="39D313FE" w:rsidR="00DE3B8E" w:rsidRDefault="00DE3B8E" w:rsidP="00DE3B8E">
            <w:pPr>
              <w:spacing w:line="360" w:lineRule="auto"/>
              <w:ind w:left="113"/>
              <w:rPr>
                <w:rFonts w:eastAsia="Calibri"/>
                <w:sz w:val="22"/>
                <w:szCs w:val="22"/>
              </w:rPr>
            </w:pPr>
            <w:r w:rsidRPr="00FF7B17">
              <w:rPr>
                <w:rFonts w:eastAsia="Calibri"/>
                <w:sz w:val="22"/>
                <w:szCs w:val="22"/>
              </w:rPr>
              <w:t xml:space="preserve">Nõutav garantii </w:t>
            </w:r>
            <w:r w:rsidR="005D3550">
              <w:rPr>
                <w:rFonts w:eastAsia="Calibri"/>
                <w:sz w:val="22"/>
                <w:szCs w:val="22"/>
              </w:rPr>
              <w:t xml:space="preserve">on vähemalt </w:t>
            </w:r>
            <w:r w:rsidRPr="00FF7B17">
              <w:rPr>
                <w:rFonts w:eastAsia="Calibri"/>
                <w:sz w:val="22"/>
                <w:szCs w:val="22"/>
              </w:rPr>
              <w:t>12 kuud seadme üleandmisest arvates. Garantii ja hoolduse täpsed tingimused sätestat</w:t>
            </w:r>
            <w:r w:rsidR="005D3550">
              <w:rPr>
                <w:rFonts w:eastAsia="Calibri"/>
                <w:sz w:val="22"/>
                <w:szCs w:val="22"/>
              </w:rPr>
              <w:t>akse</w:t>
            </w:r>
            <w:r w:rsidRPr="00FF7B17">
              <w:rPr>
                <w:rFonts w:eastAsia="Calibri"/>
                <w:sz w:val="22"/>
                <w:szCs w:val="22"/>
              </w:rPr>
              <w:t xml:space="preserve"> </w:t>
            </w:r>
            <w:r w:rsidR="002413DB">
              <w:rPr>
                <w:rFonts w:eastAsia="Calibri"/>
                <w:sz w:val="22"/>
                <w:szCs w:val="22"/>
              </w:rPr>
              <w:t>hanke</w:t>
            </w:r>
            <w:r w:rsidRPr="00FF7B17">
              <w:rPr>
                <w:rFonts w:eastAsia="Calibri"/>
                <w:sz w:val="22"/>
                <w:szCs w:val="22"/>
              </w:rPr>
              <w:t>lepingus</w:t>
            </w:r>
            <w:r w:rsidR="002413DB">
              <w:rPr>
                <w:rFonts w:eastAsia="Calibri"/>
                <w:sz w:val="22"/>
                <w:szCs w:val="22"/>
              </w:rPr>
              <w:t>.</w:t>
            </w:r>
            <w:r w:rsidRPr="00FF7B17">
              <w:rPr>
                <w:rFonts w:eastAsia="Calibri"/>
                <w:sz w:val="22"/>
                <w:szCs w:val="22"/>
              </w:rPr>
              <w:t xml:space="preserve"> Pakkuja tagab garantiiajal (12 kuud) seadme hoolduse vastavalt tootja kehtestatud hooldeplaanidele.</w:t>
            </w:r>
          </w:p>
          <w:p w14:paraId="41FFF1CB" w14:textId="62BF1BCB" w:rsidR="00DE3B8E" w:rsidRPr="00827F88" w:rsidRDefault="00DE3B8E" w:rsidP="00DE3B8E">
            <w:pPr>
              <w:jc w:val="both"/>
              <w:rPr>
                <w:bCs/>
              </w:rPr>
            </w:pPr>
            <w:r w:rsidRPr="000A5B6E">
              <w:rPr>
                <w:rFonts w:eastAsia="Calibri"/>
                <w:b/>
                <w:sz w:val="22"/>
                <w:szCs w:val="22"/>
              </w:rPr>
              <w:t>Pakkuja kinnitab kohustuste täitmiseks võtmist</w:t>
            </w:r>
            <w:r>
              <w:rPr>
                <w:rFonts w:eastAsia="Calibri"/>
                <w:sz w:val="22"/>
                <w:szCs w:val="22"/>
              </w:rPr>
              <w:t xml:space="preserve">. </w:t>
            </w:r>
          </w:p>
        </w:tc>
        <w:tc>
          <w:tcPr>
            <w:tcW w:w="1004" w:type="pct"/>
            <w:tcBorders>
              <w:top w:val="single" w:sz="4" w:space="0" w:color="auto"/>
              <w:left w:val="single" w:sz="4" w:space="0" w:color="auto"/>
              <w:bottom w:val="single" w:sz="4" w:space="0" w:color="auto"/>
              <w:right w:val="single" w:sz="4" w:space="0" w:color="auto"/>
            </w:tcBorders>
          </w:tcPr>
          <w:p w14:paraId="12EBDF2D" w14:textId="77777777" w:rsidR="00DE3B8E" w:rsidRPr="00827F88" w:rsidRDefault="00DE3B8E" w:rsidP="00DE3B8E">
            <w:pPr>
              <w:jc w:val="both"/>
              <w:rPr>
                <w:bCs/>
              </w:rPr>
            </w:pPr>
          </w:p>
        </w:tc>
      </w:tr>
      <w:tr w:rsidR="00DE3B8E" w:rsidRPr="00827F88" w14:paraId="7031983A" w14:textId="77777777" w:rsidTr="00DE3B8E">
        <w:trPr>
          <w:jc w:val="center"/>
        </w:trPr>
        <w:tc>
          <w:tcPr>
            <w:tcW w:w="665" w:type="pct"/>
            <w:tcMar>
              <w:top w:w="0" w:type="dxa"/>
              <w:left w:w="108" w:type="dxa"/>
              <w:bottom w:w="0" w:type="dxa"/>
              <w:right w:w="108" w:type="dxa"/>
            </w:tcMar>
            <w:vAlign w:val="center"/>
          </w:tcPr>
          <w:p w14:paraId="55BBF1F9" w14:textId="2A342EBE" w:rsidR="00DE3B8E" w:rsidRPr="0013360E" w:rsidRDefault="00DE3B8E" w:rsidP="00DE3B8E">
            <w:pPr>
              <w:jc w:val="both"/>
            </w:pPr>
            <w:r w:rsidRPr="00FF7B17">
              <w:rPr>
                <w:rFonts w:eastAsia="Calibri"/>
                <w:sz w:val="22"/>
                <w:szCs w:val="22"/>
              </w:rPr>
              <w:t>3.2</w:t>
            </w:r>
          </w:p>
        </w:tc>
        <w:tc>
          <w:tcPr>
            <w:tcW w:w="3331" w:type="pct"/>
            <w:tcMar>
              <w:top w:w="0" w:type="dxa"/>
              <w:left w:w="108" w:type="dxa"/>
              <w:bottom w:w="0" w:type="dxa"/>
              <w:right w:w="108" w:type="dxa"/>
            </w:tcMar>
            <w:vAlign w:val="center"/>
          </w:tcPr>
          <w:p w14:paraId="263EAE9B" w14:textId="152E44C3" w:rsidR="00DE3B8E" w:rsidRPr="00827F88" w:rsidRDefault="00DE3B8E" w:rsidP="00DE3B8E">
            <w:pPr>
              <w:jc w:val="both"/>
              <w:rPr>
                <w:bCs/>
              </w:rPr>
            </w:pPr>
            <w:r w:rsidRPr="00FF7B17">
              <w:rPr>
                <w:rFonts w:eastAsia="Calibri"/>
                <w:sz w:val="22"/>
                <w:szCs w:val="22"/>
              </w:rPr>
              <w:t xml:space="preserve">Pakkuja on kohustatud tagama rikketeadete vastuvõtmise ja andma tekkinud probleemi lahendamiseks operatiivseid tehnilisi konsultatsioone (telefoni teel ja online) tööpäevadel (E-R) Ida-Euroopa aja (EET) järgi ajavahemikul </w:t>
            </w:r>
            <w:r>
              <w:rPr>
                <w:rFonts w:eastAsia="Calibri"/>
                <w:sz w:val="22"/>
                <w:szCs w:val="22"/>
              </w:rPr>
              <w:t>9</w:t>
            </w:r>
            <w:r w:rsidRPr="00FF7B17">
              <w:rPr>
                <w:rFonts w:eastAsia="Calibri"/>
                <w:sz w:val="22"/>
                <w:szCs w:val="22"/>
              </w:rPr>
              <w:t>:00-17:00</w:t>
            </w:r>
          </w:p>
        </w:tc>
        <w:tc>
          <w:tcPr>
            <w:tcW w:w="1004" w:type="pct"/>
            <w:tcBorders>
              <w:top w:val="single" w:sz="4" w:space="0" w:color="auto"/>
              <w:left w:val="single" w:sz="4" w:space="0" w:color="auto"/>
              <w:bottom w:val="single" w:sz="4" w:space="0" w:color="auto"/>
              <w:right w:val="single" w:sz="4" w:space="0" w:color="auto"/>
            </w:tcBorders>
          </w:tcPr>
          <w:p w14:paraId="4DBD3F48" w14:textId="77777777" w:rsidR="00DE3B8E" w:rsidRPr="00827F88" w:rsidRDefault="00DE3B8E" w:rsidP="00DE3B8E">
            <w:pPr>
              <w:jc w:val="both"/>
              <w:rPr>
                <w:bCs/>
              </w:rPr>
            </w:pPr>
          </w:p>
        </w:tc>
      </w:tr>
      <w:tr w:rsidR="00DE3B8E" w:rsidRPr="00827F88" w14:paraId="7A35484B" w14:textId="77777777" w:rsidTr="00DE3B8E">
        <w:trPr>
          <w:jc w:val="center"/>
        </w:trPr>
        <w:tc>
          <w:tcPr>
            <w:tcW w:w="665" w:type="pct"/>
            <w:tcMar>
              <w:top w:w="0" w:type="dxa"/>
              <w:left w:w="108" w:type="dxa"/>
              <w:bottom w:w="0" w:type="dxa"/>
              <w:right w:w="108" w:type="dxa"/>
            </w:tcMar>
            <w:vAlign w:val="center"/>
          </w:tcPr>
          <w:p w14:paraId="268B4F90" w14:textId="3B780BD8" w:rsidR="00DE3B8E" w:rsidRPr="0013360E" w:rsidRDefault="00DE3B8E" w:rsidP="00DE3B8E">
            <w:pPr>
              <w:jc w:val="both"/>
            </w:pPr>
            <w:r w:rsidRPr="00FF7B17">
              <w:rPr>
                <w:rFonts w:eastAsia="Calibri"/>
                <w:sz w:val="22"/>
                <w:szCs w:val="22"/>
              </w:rPr>
              <w:t>3.3</w:t>
            </w:r>
          </w:p>
        </w:tc>
        <w:tc>
          <w:tcPr>
            <w:tcW w:w="3331" w:type="pct"/>
            <w:tcMar>
              <w:top w:w="0" w:type="dxa"/>
              <w:left w:w="108" w:type="dxa"/>
              <w:bottom w:w="0" w:type="dxa"/>
              <w:right w:w="108" w:type="dxa"/>
            </w:tcMar>
            <w:vAlign w:val="center"/>
          </w:tcPr>
          <w:p w14:paraId="359A95DE" w14:textId="77777777" w:rsidR="00DE3B8E" w:rsidRDefault="00DE3B8E" w:rsidP="00DE3B8E">
            <w:pPr>
              <w:spacing w:line="360" w:lineRule="auto"/>
              <w:ind w:left="113"/>
              <w:rPr>
                <w:rFonts w:eastAsia="Calibri"/>
                <w:sz w:val="22"/>
                <w:szCs w:val="22"/>
              </w:rPr>
            </w:pPr>
            <w:r w:rsidRPr="001A5D29">
              <w:rPr>
                <w:rFonts w:eastAsia="Calibri"/>
                <w:sz w:val="22"/>
                <w:szCs w:val="22"/>
              </w:rPr>
              <w:t>Müüja on kohustatud lahendama probleemi punkti 3.2 kohase konsultatsiooni käigus (kaughalduse teel) rikketeate esitamisele järgneva</w:t>
            </w:r>
            <w:r>
              <w:rPr>
                <w:rFonts w:eastAsia="Calibri"/>
                <w:sz w:val="22"/>
                <w:szCs w:val="22"/>
              </w:rPr>
              <w:t xml:space="preserve"> 1 </w:t>
            </w:r>
            <w:r w:rsidRPr="001A5D29">
              <w:rPr>
                <w:rFonts w:eastAsia="Calibri"/>
                <w:sz w:val="22"/>
                <w:szCs w:val="22"/>
              </w:rPr>
              <w:t xml:space="preserve">tööpäeva jooksul. Juhul, kui probleemi pole võimalik lahendada kaughalduse teel, peab Müüja hooldustehnik jõudma </w:t>
            </w:r>
            <w:r>
              <w:rPr>
                <w:rFonts w:eastAsia="Calibri"/>
                <w:sz w:val="22"/>
                <w:szCs w:val="22"/>
              </w:rPr>
              <w:t>3 tööpäeva</w:t>
            </w:r>
            <w:r w:rsidRPr="001A5D29">
              <w:rPr>
                <w:rFonts w:eastAsia="Calibri"/>
                <w:sz w:val="22"/>
                <w:szCs w:val="22"/>
              </w:rPr>
              <w:t xml:space="preserve"> jooksul rikketeate esitamisest arvates Ostja juurde;</w:t>
            </w:r>
          </w:p>
          <w:p w14:paraId="49780AAC" w14:textId="0674268A" w:rsidR="00DE3B8E" w:rsidRPr="00827F88" w:rsidRDefault="00DE3B8E" w:rsidP="00DE3B8E">
            <w:pPr>
              <w:jc w:val="both"/>
              <w:rPr>
                <w:bCs/>
              </w:rPr>
            </w:pPr>
            <w:r w:rsidRPr="001A5D29">
              <w:rPr>
                <w:rFonts w:eastAsia="Calibri"/>
                <w:sz w:val="22"/>
                <w:szCs w:val="22"/>
              </w:rPr>
              <w:t xml:space="preserve">Müüja on kohustatud kõrvaldama rikke </w:t>
            </w:r>
            <w:r>
              <w:rPr>
                <w:rFonts w:eastAsia="Calibri"/>
                <w:sz w:val="22"/>
                <w:szCs w:val="22"/>
              </w:rPr>
              <w:t>10</w:t>
            </w:r>
            <w:r w:rsidRPr="001A5D29">
              <w:rPr>
                <w:rFonts w:eastAsia="Calibri"/>
                <w:sz w:val="22"/>
                <w:szCs w:val="22"/>
              </w:rPr>
              <w:t xml:space="preserve"> (</w:t>
            </w:r>
            <w:r>
              <w:rPr>
                <w:rFonts w:eastAsia="Calibri"/>
                <w:sz w:val="22"/>
                <w:szCs w:val="22"/>
              </w:rPr>
              <w:t>kümne</w:t>
            </w:r>
            <w:r w:rsidRPr="001A5D29">
              <w:rPr>
                <w:rFonts w:eastAsia="Calibri"/>
                <w:sz w:val="22"/>
                <w:szCs w:val="22"/>
              </w:rPr>
              <w:t>) tööpäeva jooksul rikketeate esitamisest arvates</w:t>
            </w:r>
            <w:r>
              <w:rPr>
                <w:rFonts w:eastAsia="Calibri"/>
                <w:sz w:val="22"/>
                <w:szCs w:val="22"/>
              </w:rPr>
              <w:t>.</w:t>
            </w:r>
          </w:p>
        </w:tc>
        <w:tc>
          <w:tcPr>
            <w:tcW w:w="1004" w:type="pct"/>
            <w:tcBorders>
              <w:top w:val="single" w:sz="4" w:space="0" w:color="auto"/>
              <w:left w:val="single" w:sz="4" w:space="0" w:color="auto"/>
              <w:bottom w:val="single" w:sz="4" w:space="0" w:color="auto"/>
              <w:right w:val="single" w:sz="4" w:space="0" w:color="auto"/>
            </w:tcBorders>
          </w:tcPr>
          <w:p w14:paraId="1D3E4DA4" w14:textId="77777777" w:rsidR="00DE3B8E" w:rsidRPr="00827F88" w:rsidRDefault="00DE3B8E" w:rsidP="00DE3B8E">
            <w:pPr>
              <w:jc w:val="both"/>
              <w:rPr>
                <w:bCs/>
              </w:rPr>
            </w:pPr>
          </w:p>
        </w:tc>
      </w:tr>
      <w:tr w:rsidR="00DE3B8E" w:rsidRPr="00827F88" w14:paraId="6A3A90E2" w14:textId="77777777" w:rsidTr="00DE3B8E">
        <w:trPr>
          <w:jc w:val="center"/>
        </w:trPr>
        <w:tc>
          <w:tcPr>
            <w:tcW w:w="665" w:type="pct"/>
            <w:tcMar>
              <w:top w:w="0" w:type="dxa"/>
              <w:left w:w="108" w:type="dxa"/>
              <w:bottom w:w="0" w:type="dxa"/>
              <w:right w:w="108" w:type="dxa"/>
            </w:tcMar>
            <w:vAlign w:val="center"/>
          </w:tcPr>
          <w:p w14:paraId="3ACB19D6" w14:textId="17A4F16E" w:rsidR="00DE3B8E" w:rsidRPr="0013360E" w:rsidRDefault="00DE3B8E" w:rsidP="00DE3B8E">
            <w:pPr>
              <w:jc w:val="both"/>
            </w:pPr>
            <w:r w:rsidRPr="00FF7B17">
              <w:rPr>
                <w:rFonts w:eastAsia="Calibri"/>
                <w:sz w:val="22"/>
                <w:szCs w:val="22"/>
              </w:rPr>
              <w:t>3.4</w:t>
            </w:r>
          </w:p>
        </w:tc>
        <w:tc>
          <w:tcPr>
            <w:tcW w:w="3331" w:type="pct"/>
            <w:tcMar>
              <w:top w:w="0" w:type="dxa"/>
              <w:left w:w="108" w:type="dxa"/>
              <w:bottom w:w="0" w:type="dxa"/>
              <w:right w:w="108" w:type="dxa"/>
            </w:tcMar>
            <w:vAlign w:val="center"/>
          </w:tcPr>
          <w:p w14:paraId="1CAAEEC0" w14:textId="71AF48DF" w:rsidR="00DE3B8E" w:rsidRPr="00827F88" w:rsidRDefault="00DE3B8E" w:rsidP="00DE3B8E">
            <w:pPr>
              <w:jc w:val="both"/>
              <w:rPr>
                <w:bCs/>
              </w:rPr>
            </w:pPr>
            <w:r w:rsidRPr="00FF7B17">
              <w:rPr>
                <w:rFonts w:eastAsia="Calibri"/>
                <w:sz w:val="22"/>
                <w:szCs w:val="22"/>
              </w:rPr>
              <w:t xml:space="preserve">Näidata seadme kasutusaeg aastates, mille jooksul pakkuja tagab pakutavatele seadmetele tehnilise toe koos varuosade tarnimisega (vähemalt </w:t>
            </w:r>
            <w:r>
              <w:rPr>
                <w:rFonts w:eastAsia="Calibri"/>
                <w:sz w:val="22"/>
                <w:szCs w:val="22"/>
              </w:rPr>
              <w:t>5</w:t>
            </w:r>
            <w:r w:rsidRPr="00FF7B17">
              <w:rPr>
                <w:rFonts w:eastAsia="Calibri"/>
                <w:sz w:val="22"/>
                <w:szCs w:val="22"/>
              </w:rPr>
              <w:t xml:space="preserve"> aastat).</w:t>
            </w:r>
          </w:p>
        </w:tc>
        <w:tc>
          <w:tcPr>
            <w:tcW w:w="1004" w:type="pct"/>
            <w:tcBorders>
              <w:top w:val="single" w:sz="4" w:space="0" w:color="auto"/>
              <w:left w:val="single" w:sz="4" w:space="0" w:color="auto"/>
              <w:bottom w:val="single" w:sz="4" w:space="0" w:color="auto"/>
              <w:right w:val="single" w:sz="4" w:space="0" w:color="auto"/>
            </w:tcBorders>
          </w:tcPr>
          <w:p w14:paraId="64960494" w14:textId="77777777" w:rsidR="00DE3B8E" w:rsidRPr="00827F88" w:rsidRDefault="00DE3B8E" w:rsidP="00DE3B8E">
            <w:pPr>
              <w:jc w:val="both"/>
              <w:rPr>
                <w:bCs/>
              </w:rPr>
            </w:pPr>
          </w:p>
        </w:tc>
      </w:tr>
      <w:tr w:rsidR="00DE3B8E" w:rsidRPr="00827F88" w14:paraId="0BC3BA01" w14:textId="77777777" w:rsidTr="00DE3B8E">
        <w:trPr>
          <w:jc w:val="center"/>
        </w:trPr>
        <w:tc>
          <w:tcPr>
            <w:tcW w:w="665" w:type="pct"/>
            <w:tcMar>
              <w:top w:w="0" w:type="dxa"/>
              <w:left w:w="108" w:type="dxa"/>
              <w:bottom w:w="0" w:type="dxa"/>
              <w:right w:w="108" w:type="dxa"/>
            </w:tcMar>
            <w:vAlign w:val="center"/>
          </w:tcPr>
          <w:p w14:paraId="0886C360" w14:textId="3EB5D818" w:rsidR="00DE3B8E" w:rsidRPr="0013360E" w:rsidRDefault="00DE3B8E" w:rsidP="00DE3B8E">
            <w:pPr>
              <w:jc w:val="both"/>
            </w:pPr>
            <w:r w:rsidRPr="00FF7B17">
              <w:rPr>
                <w:rFonts w:eastAsia="Calibri"/>
                <w:sz w:val="22"/>
                <w:szCs w:val="22"/>
              </w:rPr>
              <w:t>4.</w:t>
            </w:r>
          </w:p>
        </w:tc>
        <w:tc>
          <w:tcPr>
            <w:tcW w:w="3331" w:type="pct"/>
            <w:tcMar>
              <w:top w:w="0" w:type="dxa"/>
              <w:left w:w="108" w:type="dxa"/>
              <w:bottom w:w="0" w:type="dxa"/>
              <w:right w:w="108" w:type="dxa"/>
            </w:tcMar>
            <w:vAlign w:val="center"/>
          </w:tcPr>
          <w:p w14:paraId="3501E004" w14:textId="059F8920" w:rsidR="00DE3B8E" w:rsidRPr="00827F88" w:rsidRDefault="00DE3B8E" w:rsidP="00DE3B8E">
            <w:pPr>
              <w:jc w:val="both"/>
              <w:rPr>
                <w:bCs/>
              </w:rPr>
            </w:pPr>
            <w:r w:rsidRPr="00FF7B17">
              <w:rPr>
                <w:rFonts w:eastAsia="Calibri"/>
                <w:b/>
                <w:sz w:val="22"/>
                <w:szCs w:val="22"/>
              </w:rPr>
              <w:t>Koolitus</w:t>
            </w:r>
          </w:p>
        </w:tc>
        <w:tc>
          <w:tcPr>
            <w:tcW w:w="1004" w:type="pct"/>
            <w:tcBorders>
              <w:top w:val="single" w:sz="4" w:space="0" w:color="auto"/>
              <w:left w:val="single" w:sz="4" w:space="0" w:color="auto"/>
              <w:bottom w:val="single" w:sz="4" w:space="0" w:color="auto"/>
              <w:right w:val="single" w:sz="4" w:space="0" w:color="auto"/>
            </w:tcBorders>
          </w:tcPr>
          <w:p w14:paraId="23FBBE64" w14:textId="77777777" w:rsidR="00DE3B8E" w:rsidRPr="00827F88" w:rsidRDefault="00DE3B8E" w:rsidP="00DE3B8E">
            <w:pPr>
              <w:jc w:val="both"/>
              <w:rPr>
                <w:bCs/>
              </w:rPr>
            </w:pPr>
          </w:p>
        </w:tc>
      </w:tr>
      <w:tr w:rsidR="00DE3B8E" w:rsidRPr="00827F88" w14:paraId="51B6BF12" w14:textId="77777777" w:rsidTr="00DE3B8E">
        <w:trPr>
          <w:jc w:val="center"/>
        </w:trPr>
        <w:tc>
          <w:tcPr>
            <w:tcW w:w="665" w:type="pct"/>
            <w:tcMar>
              <w:top w:w="0" w:type="dxa"/>
              <w:left w:w="108" w:type="dxa"/>
              <w:bottom w:w="0" w:type="dxa"/>
              <w:right w:w="108" w:type="dxa"/>
            </w:tcMar>
            <w:vAlign w:val="center"/>
          </w:tcPr>
          <w:p w14:paraId="5A19EEE3" w14:textId="73EF5CA1" w:rsidR="00DE3B8E" w:rsidRPr="0013360E" w:rsidRDefault="00DE3B8E" w:rsidP="00DE3B8E">
            <w:pPr>
              <w:jc w:val="both"/>
            </w:pPr>
            <w:r w:rsidRPr="00FF7B17">
              <w:rPr>
                <w:rFonts w:eastAsia="Calibri"/>
                <w:sz w:val="22"/>
                <w:szCs w:val="22"/>
              </w:rPr>
              <w:t>4.1</w:t>
            </w:r>
          </w:p>
        </w:tc>
        <w:tc>
          <w:tcPr>
            <w:tcW w:w="3331" w:type="pct"/>
            <w:tcMar>
              <w:top w:w="0" w:type="dxa"/>
              <w:left w:w="108" w:type="dxa"/>
              <w:bottom w:w="0" w:type="dxa"/>
              <w:right w:w="108" w:type="dxa"/>
            </w:tcMar>
            <w:vAlign w:val="center"/>
          </w:tcPr>
          <w:p w14:paraId="2FEE732D" w14:textId="5BFFF6E4" w:rsidR="00DE3B8E" w:rsidRPr="00827F88" w:rsidRDefault="00DE3B8E" w:rsidP="00DE3B8E">
            <w:pPr>
              <w:jc w:val="both"/>
              <w:rPr>
                <w:bCs/>
              </w:rPr>
            </w:pPr>
            <w:r>
              <w:rPr>
                <w:sz w:val="22"/>
                <w:szCs w:val="22"/>
              </w:rPr>
              <w:t>Seadme üleandmisel kohapealne esmane koolitus seadme kasutajatele ja hooldepersonalile</w:t>
            </w:r>
            <w:r>
              <w:rPr>
                <w:szCs w:val="22"/>
              </w:rPr>
              <w:t>.</w:t>
            </w:r>
          </w:p>
        </w:tc>
        <w:tc>
          <w:tcPr>
            <w:tcW w:w="1004" w:type="pct"/>
            <w:tcBorders>
              <w:top w:val="single" w:sz="4" w:space="0" w:color="auto"/>
              <w:left w:val="single" w:sz="4" w:space="0" w:color="auto"/>
              <w:bottom w:val="single" w:sz="4" w:space="0" w:color="auto"/>
              <w:right w:val="single" w:sz="4" w:space="0" w:color="auto"/>
            </w:tcBorders>
          </w:tcPr>
          <w:p w14:paraId="69C550B9" w14:textId="77777777" w:rsidR="00DE3B8E" w:rsidRPr="00827F88" w:rsidRDefault="00DE3B8E" w:rsidP="00DE3B8E">
            <w:pPr>
              <w:jc w:val="both"/>
              <w:rPr>
                <w:bCs/>
              </w:rPr>
            </w:pPr>
          </w:p>
        </w:tc>
      </w:tr>
    </w:tbl>
    <w:p w14:paraId="14BB08F8" w14:textId="77777777" w:rsidR="009C47A7" w:rsidRDefault="009C47A7" w:rsidP="00416D56">
      <w:pPr>
        <w:jc w:val="both"/>
      </w:pPr>
    </w:p>
    <w:p w14:paraId="54066E5F" w14:textId="40617AA4" w:rsidR="003C17CF" w:rsidRDefault="003C17CF" w:rsidP="00416D56">
      <w:pPr>
        <w:jc w:val="both"/>
      </w:pPr>
      <w:r>
        <w:t xml:space="preserve">Seadmetele kehtib garantii </w:t>
      </w:r>
      <w:r w:rsidRPr="003C17CF">
        <w:rPr>
          <w:b/>
          <w:bCs/>
        </w:rPr>
        <w:t>… kuud</w:t>
      </w:r>
      <w:r>
        <w:t xml:space="preserve"> (märkida garantiiaeg kuudes).</w:t>
      </w:r>
    </w:p>
    <w:p w14:paraId="4E218D34" w14:textId="77777777" w:rsidR="003C17CF" w:rsidRDefault="003C17CF" w:rsidP="00416D56">
      <w:pPr>
        <w:jc w:val="both"/>
      </w:pPr>
    </w:p>
    <w:p w14:paraId="38535241" w14:textId="77777777" w:rsidR="009C47A7" w:rsidRDefault="009C47A7" w:rsidP="00416D56">
      <w:pPr>
        <w:jc w:val="both"/>
      </w:pPr>
    </w:p>
    <w:p w14:paraId="1446BFDF" w14:textId="6653CFAF" w:rsidR="00416D56" w:rsidRPr="00416D56" w:rsidRDefault="00416D56" w:rsidP="00416D56">
      <w:pPr>
        <w:jc w:val="both"/>
      </w:pPr>
      <w:r w:rsidRPr="00416D56">
        <w:t xml:space="preserve">Pakkujate pakkumused </w:t>
      </w:r>
      <w:r w:rsidR="003B56D9">
        <w:t xml:space="preserve">peavad olema jõus vähemalt </w:t>
      </w:r>
      <w:r w:rsidR="00C7325D">
        <w:t>6</w:t>
      </w:r>
      <w:r w:rsidR="007E6D94" w:rsidRPr="00264D91">
        <w:t>0</w:t>
      </w:r>
      <w:r w:rsidR="003B56D9" w:rsidRPr="00264D91">
        <w:t xml:space="preserve"> </w:t>
      </w:r>
      <w:r w:rsidRPr="00264D91">
        <w:t>kalendripäeva</w:t>
      </w:r>
      <w:r w:rsidRPr="00416D56">
        <w:t xml:space="preserve"> arvestatuna pakkumuste esitamise tähtpäevast.</w:t>
      </w:r>
    </w:p>
    <w:p w14:paraId="48930F7B" w14:textId="77777777" w:rsidR="00416D56" w:rsidRDefault="00416D56" w:rsidP="00441916">
      <w:pPr>
        <w:jc w:val="both"/>
      </w:pPr>
    </w:p>
    <w:p w14:paraId="61FCB80A" w14:textId="19204DDA" w:rsidR="00441916" w:rsidRDefault="00441916" w:rsidP="00441916">
      <w:pPr>
        <w:jc w:val="both"/>
      </w:pPr>
      <w:r>
        <w:t xml:space="preserve">Pakkumuse esitamisega pakkuja kinnitab, et </w:t>
      </w:r>
      <w:r w:rsidR="009344FB">
        <w:t>pakkumus</w:t>
      </w:r>
      <w:r>
        <w:t xml:space="preserve"> vastab kõikidele käesolevast </w:t>
      </w:r>
      <w:r w:rsidR="00C7325D">
        <w:t>hankedokumendist</w:t>
      </w:r>
      <w:r>
        <w:t xml:space="preserve"> tulenevatele tingimustele ning et ta nõustub kõikide käesolevast dokumendist tulenevate tingimustega.</w:t>
      </w:r>
    </w:p>
    <w:p w14:paraId="24FB2E15" w14:textId="5323ADF9" w:rsidR="00827F88" w:rsidRDefault="00827F88" w:rsidP="00441916">
      <w:pPr>
        <w:jc w:val="both"/>
      </w:pPr>
    </w:p>
    <w:p w14:paraId="1AD61B33" w14:textId="77777777" w:rsidR="00827F88" w:rsidRDefault="00827F88" w:rsidP="00441916">
      <w:pPr>
        <w:jc w:val="both"/>
      </w:pPr>
    </w:p>
    <w:p w14:paraId="372D4C39" w14:textId="77777777" w:rsidR="00441916" w:rsidRDefault="00441916" w:rsidP="009D7A04">
      <w:pPr>
        <w:jc w:val="both"/>
      </w:pPr>
    </w:p>
    <w:p w14:paraId="44DC935A" w14:textId="77777777" w:rsidR="009D7A04" w:rsidRDefault="00FA44A9" w:rsidP="009D7A04">
      <w:pPr>
        <w:jc w:val="both"/>
      </w:pPr>
      <w:r>
        <w:t>Ametinimetus:</w:t>
      </w:r>
      <w:r w:rsidR="009D7A04" w:rsidRPr="00205701">
        <w:tab/>
        <w:t xml:space="preserve">  </w:t>
      </w:r>
      <w:r w:rsidR="009D7A04" w:rsidRPr="00441916">
        <w:t>....</w:t>
      </w:r>
      <w:r>
        <w:t xml:space="preserve">........................  </w:t>
      </w:r>
    </w:p>
    <w:p w14:paraId="5D0DB837" w14:textId="77777777" w:rsidR="00FA44A9" w:rsidRPr="00205701" w:rsidRDefault="00FA44A9" w:rsidP="009D7A04">
      <w:pPr>
        <w:jc w:val="both"/>
      </w:pPr>
    </w:p>
    <w:p w14:paraId="60A73EE9" w14:textId="77777777" w:rsidR="00BE7C30" w:rsidRDefault="00FA44A9" w:rsidP="00FA44A9">
      <w:pPr>
        <w:snapToGrid w:val="0"/>
        <w:spacing w:line="100" w:lineRule="atLeast"/>
        <w:rPr>
          <w:sz w:val="22"/>
          <w:szCs w:val="22"/>
          <w:lang w:eastAsia="en-US"/>
        </w:rPr>
      </w:pPr>
      <w:r>
        <w:rPr>
          <w:sz w:val="22"/>
          <w:szCs w:val="22"/>
          <w:lang w:eastAsia="en-US"/>
        </w:rPr>
        <w:t>Pakkumuse</w:t>
      </w:r>
      <w:r w:rsidRPr="00246647">
        <w:rPr>
          <w:sz w:val="22"/>
          <w:szCs w:val="22"/>
          <w:lang w:eastAsia="en-US"/>
        </w:rPr>
        <w:t xml:space="preserve"> koostaja kinnitab esitatud andmete õigsust (nimi ja allkiri):</w:t>
      </w:r>
      <w:r>
        <w:rPr>
          <w:sz w:val="22"/>
          <w:szCs w:val="22"/>
          <w:lang w:eastAsia="en-US"/>
        </w:rPr>
        <w:t xml:space="preserve"> ...............</w:t>
      </w:r>
      <w:r w:rsidR="00E03E82">
        <w:rPr>
          <w:sz w:val="22"/>
          <w:szCs w:val="22"/>
          <w:lang w:eastAsia="en-US"/>
        </w:rPr>
        <w:t>............</w:t>
      </w:r>
    </w:p>
    <w:p w14:paraId="7260EB9F" w14:textId="080FC939" w:rsidR="00FA44A9" w:rsidRPr="00246647" w:rsidRDefault="00FA44A9" w:rsidP="00FA44A9">
      <w:pPr>
        <w:snapToGrid w:val="0"/>
        <w:spacing w:line="100" w:lineRule="atLeast"/>
        <w:rPr>
          <w:sz w:val="22"/>
          <w:szCs w:val="22"/>
          <w:lang w:eastAsia="en-US"/>
        </w:rPr>
      </w:pPr>
      <w:r>
        <w:rPr>
          <w:sz w:val="22"/>
          <w:szCs w:val="22"/>
          <w:lang w:eastAsia="en-US"/>
        </w:rPr>
        <w:t xml:space="preserve"> /allkirjastatud digitaalselt/</w:t>
      </w:r>
    </w:p>
    <w:p w14:paraId="0B3C2435" w14:textId="77777777" w:rsidR="00431182" w:rsidRPr="00591CBA" w:rsidRDefault="00431182" w:rsidP="00FA44A9">
      <w:pPr>
        <w:pStyle w:val="Pealkiri"/>
        <w:jc w:val="left"/>
        <w:rPr>
          <w:b w:val="0"/>
          <w:sz w:val="24"/>
          <w:szCs w:val="24"/>
        </w:rPr>
      </w:pPr>
    </w:p>
    <w:p w14:paraId="1D45B908" w14:textId="77777777" w:rsidR="008E5BB1" w:rsidRPr="008E5BB1" w:rsidRDefault="008E5BB1" w:rsidP="008E5BB1">
      <w:pPr>
        <w:pStyle w:val="Pealkiri"/>
        <w:jc w:val="left"/>
        <w:rPr>
          <w:b w:val="0"/>
        </w:rPr>
      </w:pPr>
      <w:r w:rsidRPr="00591CBA">
        <w:rPr>
          <w:b w:val="0"/>
          <w:sz w:val="24"/>
          <w:szCs w:val="24"/>
        </w:rPr>
        <w:t>Allkirjastamise kuupäevaks loetakse digitaalallkirja kuupäeva.</w:t>
      </w:r>
    </w:p>
    <w:sectPr w:rsidR="008E5BB1" w:rsidRPr="008E5BB1" w:rsidSect="00272E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4778" w14:textId="77777777" w:rsidR="00D275D3" w:rsidRDefault="00D275D3" w:rsidP="00416D56">
      <w:r>
        <w:separator/>
      </w:r>
    </w:p>
  </w:endnote>
  <w:endnote w:type="continuationSeparator" w:id="0">
    <w:p w14:paraId="2A83B0F7" w14:textId="77777777" w:rsidR="00D275D3" w:rsidRDefault="00D275D3" w:rsidP="0041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3205" w14:textId="77777777" w:rsidR="00D275D3" w:rsidRDefault="00D275D3" w:rsidP="00416D56">
      <w:r>
        <w:separator/>
      </w:r>
    </w:p>
  </w:footnote>
  <w:footnote w:type="continuationSeparator" w:id="0">
    <w:p w14:paraId="49E030F9" w14:textId="77777777" w:rsidR="00D275D3" w:rsidRDefault="00D275D3" w:rsidP="0041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575"/>
    <w:multiLevelType w:val="multilevel"/>
    <w:tmpl w:val="1DB2988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65C50BB"/>
    <w:multiLevelType w:val="hybridMultilevel"/>
    <w:tmpl w:val="3EC807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C800F22"/>
    <w:multiLevelType w:val="hybridMultilevel"/>
    <w:tmpl w:val="9474C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B7E2B26"/>
    <w:multiLevelType w:val="hybridMultilevel"/>
    <w:tmpl w:val="0D5850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60B25ECC"/>
    <w:multiLevelType w:val="hybridMultilevel"/>
    <w:tmpl w:val="65AE3E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62EE1F38"/>
    <w:multiLevelType w:val="hybridMultilevel"/>
    <w:tmpl w:val="8E12B2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005552"/>
    <w:multiLevelType w:val="multilevel"/>
    <w:tmpl w:val="1DB2988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2033996909">
    <w:abstractNumId w:val="6"/>
  </w:num>
  <w:num w:numId="2" w16cid:durableId="693075342">
    <w:abstractNumId w:val="3"/>
  </w:num>
  <w:num w:numId="3" w16cid:durableId="1056079645">
    <w:abstractNumId w:val="1"/>
  </w:num>
  <w:num w:numId="4" w16cid:durableId="54209490">
    <w:abstractNumId w:val="5"/>
  </w:num>
  <w:num w:numId="5" w16cid:durableId="1505782670">
    <w:abstractNumId w:val="0"/>
  </w:num>
  <w:num w:numId="6" w16cid:durableId="1138718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718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09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FB"/>
    <w:rsid w:val="0001235F"/>
    <w:rsid w:val="0001722D"/>
    <w:rsid w:val="00021963"/>
    <w:rsid w:val="00075286"/>
    <w:rsid w:val="000756C1"/>
    <w:rsid w:val="00077DBF"/>
    <w:rsid w:val="00087C2B"/>
    <w:rsid w:val="00093758"/>
    <w:rsid w:val="000A115D"/>
    <w:rsid w:val="000C3013"/>
    <w:rsid w:val="000E2F27"/>
    <w:rsid w:val="000E414A"/>
    <w:rsid w:val="000F30E6"/>
    <w:rsid w:val="000F5C2C"/>
    <w:rsid w:val="000F69FB"/>
    <w:rsid w:val="0010423D"/>
    <w:rsid w:val="00104528"/>
    <w:rsid w:val="001135BA"/>
    <w:rsid w:val="00116915"/>
    <w:rsid w:val="0013360E"/>
    <w:rsid w:val="00154470"/>
    <w:rsid w:val="0019575E"/>
    <w:rsid w:val="001D2737"/>
    <w:rsid w:val="001E075F"/>
    <w:rsid w:val="002145FE"/>
    <w:rsid w:val="002413DB"/>
    <w:rsid w:val="00243F46"/>
    <w:rsid w:val="00264D91"/>
    <w:rsid w:val="00272E44"/>
    <w:rsid w:val="0028306D"/>
    <w:rsid w:val="00284F65"/>
    <w:rsid w:val="002A6D77"/>
    <w:rsid w:val="002C6631"/>
    <w:rsid w:val="002E7308"/>
    <w:rsid w:val="003063EC"/>
    <w:rsid w:val="0032238C"/>
    <w:rsid w:val="003249E5"/>
    <w:rsid w:val="00346ECD"/>
    <w:rsid w:val="003577F4"/>
    <w:rsid w:val="00380931"/>
    <w:rsid w:val="003B1724"/>
    <w:rsid w:val="003B56D9"/>
    <w:rsid w:val="003C17CF"/>
    <w:rsid w:val="003D58DA"/>
    <w:rsid w:val="003E7955"/>
    <w:rsid w:val="004040AA"/>
    <w:rsid w:val="00404484"/>
    <w:rsid w:val="00416D56"/>
    <w:rsid w:val="004205B3"/>
    <w:rsid w:val="00431182"/>
    <w:rsid w:val="00432DCA"/>
    <w:rsid w:val="00433293"/>
    <w:rsid w:val="00441916"/>
    <w:rsid w:val="00454089"/>
    <w:rsid w:val="00462BDD"/>
    <w:rsid w:val="00482386"/>
    <w:rsid w:val="00492CFC"/>
    <w:rsid w:val="004A071C"/>
    <w:rsid w:val="004A6C0C"/>
    <w:rsid w:val="004B7FC5"/>
    <w:rsid w:val="004F1F79"/>
    <w:rsid w:val="004F5A5B"/>
    <w:rsid w:val="00500180"/>
    <w:rsid w:val="00506F56"/>
    <w:rsid w:val="0051338E"/>
    <w:rsid w:val="005214FC"/>
    <w:rsid w:val="00522D08"/>
    <w:rsid w:val="00531323"/>
    <w:rsid w:val="00550DCA"/>
    <w:rsid w:val="00555638"/>
    <w:rsid w:val="00557660"/>
    <w:rsid w:val="00574482"/>
    <w:rsid w:val="00583848"/>
    <w:rsid w:val="005870D4"/>
    <w:rsid w:val="00591CBA"/>
    <w:rsid w:val="00594953"/>
    <w:rsid w:val="005D3550"/>
    <w:rsid w:val="005E60FF"/>
    <w:rsid w:val="00617748"/>
    <w:rsid w:val="00642039"/>
    <w:rsid w:val="00642E16"/>
    <w:rsid w:val="00674A29"/>
    <w:rsid w:val="00682D08"/>
    <w:rsid w:val="006A7013"/>
    <w:rsid w:val="006F2DF7"/>
    <w:rsid w:val="007244CA"/>
    <w:rsid w:val="00730447"/>
    <w:rsid w:val="00734561"/>
    <w:rsid w:val="007360A5"/>
    <w:rsid w:val="00787802"/>
    <w:rsid w:val="007B5663"/>
    <w:rsid w:val="007D6EFC"/>
    <w:rsid w:val="007D6F16"/>
    <w:rsid w:val="007E2547"/>
    <w:rsid w:val="007E6D94"/>
    <w:rsid w:val="00825F91"/>
    <w:rsid w:val="00827F88"/>
    <w:rsid w:val="00851871"/>
    <w:rsid w:val="008571EA"/>
    <w:rsid w:val="008C07A2"/>
    <w:rsid w:val="008E5BB1"/>
    <w:rsid w:val="0091086E"/>
    <w:rsid w:val="009344FB"/>
    <w:rsid w:val="009532D8"/>
    <w:rsid w:val="00961916"/>
    <w:rsid w:val="0097135D"/>
    <w:rsid w:val="009A3A57"/>
    <w:rsid w:val="009C47A7"/>
    <w:rsid w:val="009C5984"/>
    <w:rsid w:val="009C7CB5"/>
    <w:rsid w:val="009D7A04"/>
    <w:rsid w:val="009E1889"/>
    <w:rsid w:val="00A4441C"/>
    <w:rsid w:val="00A5373E"/>
    <w:rsid w:val="00A64CE8"/>
    <w:rsid w:val="00AD3694"/>
    <w:rsid w:val="00AD39A0"/>
    <w:rsid w:val="00AD5219"/>
    <w:rsid w:val="00B2150F"/>
    <w:rsid w:val="00B40411"/>
    <w:rsid w:val="00B5240E"/>
    <w:rsid w:val="00B56338"/>
    <w:rsid w:val="00BA04DD"/>
    <w:rsid w:val="00BA7C63"/>
    <w:rsid w:val="00BD11FF"/>
    <w:rsid w:val="00BE291D"/>
    <w:rsid w:val="00BE404C"/>
    <w:rsid w:val="00BE7C30"/>
    <w:rsid w:val="00C0615B"/>
    <w:rsid w:val="00C53AD8"/>
    <w:rsid w:val="00C7325D"/>
    <w:rsid w:val="00C92E51"/>
    <w:rsid w:val="00C960FD"/>
    <w:rsid w:val="00C97917"/>
    <w:rsid w:val="00D0071C"/>
    <w:rsid w:val="00D11FD4"/>
    <w:rsid w:val="00D26581"/>
    <w:rsid w:val="00D275D3"/>
    <w:rsid w:val="00D33C7D"/>
    <w:rsid w:val="00D354CE"/>
    <w:rsid w:val="00D71707"/>
    <w:rsid w:val="00DB2984"/>
    <w:rsid w:val="00DB2DB7"/>
    <w:rsid w:val="00DC2511"/>
    <w:rsid w:val="00DE3B8E"/>
    <w:rsid w:val="00DE7570"/>
    <w:rsid w:val="00DF4985"/>
    <w:rsid w:val="00E0095E"/>
    <w:rsid w:val="00E03E82"/>
    <w:rsid w:val="00E2131A"/>
    <w:rsid w:val="00E3490A"/>
    <w:rsid w:val="00E50F3A"/>
    <w:rsid w:val="00E56E34"/>
    <w:rsid w:val="00E828B0"/>
    <w:rsid w:val="00EA6F5B"/>
    <w:rsid w:val="00EC77DE"/>
    <w:rsid w:val="00F36850"/>
    <w:rsid w:val="00F37A8F"/>
    <w:rsid w:val="00F5355D"/>
    <w:rsid w:val="00F67C44"/>
    <w:rsid w:val="00F75614"/>
    <w:rsid w:val="00F826FD"/>
    <w:rsid w:val="00FA4200"/>
    <w:rsid w:val="00FA44A9"/>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3C57"/>
  <w15:chartTrackingRefBased/>
  <w15:docId w15:val="{F4A2B9A7-CDAF-4A48-A1CC-1B37004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69FB"/>
    <w:pPr>
      <w:autoSpaceDE w:val="0"/>
      <w:autoSpaceDN w:val="0"/>
      <w:spacing w:after="0" w:line="240" w:lineRule="auto"/>
    </w:pPr>
    <w:rPr>
      <w:rFonts w:ascii="Times New Roman" w:eastAsia="Times New Roman" w:hAnsi="Times New Roman" w:cs="Times New Roman"/>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semiHidden/>
    <w:unhideWhenUsed/>
    <w:qFormat/>
    <w:rsid w:val="00674A29"/>
    <w:pPr>
      <w:autoSpaceDE/>
      <w:autoSpaceDN/>
      <w:spacing w:after="200"/>
    </w:pPr>
    <w:rPr>
      <w:rFonts w:ascii="Calibri" w:eastAsiaTheme="minorHAnsi" w:hAnsi="Calibri" w:cs="Calibri"/>
      <w:i/>
      <w:iCs/>
      <w:color w:val="44546A" w:themeColor="text2"/>
      <w:sz w:val="18"/>
      <w:szCs w:val="18"/>
      <w:lang w:eastAsia="en-US"/>
    </w:rPr>
  </w:style>
  <w:style w:type="paragraph" w:styleId="Pealkiri">
    <w:name w:val="Title"/>
    <w:basedOn w:val="Normaallaad"/>
    <w:link w:val="PealkiriMrk"/>
    <w:uiPriority w:val="10"/>
    <w:qFormat/>
    <w:rsid w:val="00674A29"/>
    <w:pPr>
      <w:autoSpaceDE/>
      <w:autoSpaceDN/>
      <w:jc w:val="center"/>
    </w:pPr>
    <w:rPr>
      <w:rFonts w:eastAsiaTheme="minorHAnsi"/>
      <w:b/>
      <w:bCs/>
      <w:sz w:val="28"/>
      <w:szCs w:val="28"/>
      <w:lang w:eastAsia="en-US"/>
    </w:rPr>
  </w:style>
  <w:style w:type="character" w:customStyle="1" w:styleId="PealkiriMrk">
    <w:name w:val="Pealkiri Märk"/>
    <w:basedOn w:val="Liguvaikefont"/>
    <w:link w:val="Pealkiri"/>
    <w:uiPriority w:val="10"/>
    <w:rsid w:val="00674A29"/>
    <w:rPr>
      <w:rFonts w:ascii="Times New Roman" w:hAnsi="Times New Roman" w:cs="Times New Roman"/>
      <w:b/>
      <w:bCs/>
      <w:sz w:val="28"/>
      <w:szCs w:val="28"/>
      <w:lang w:val="et-EE"/>
    </w:rPr>
  </w:style>
  <w:style w:type="character" w:styleId="Hperlink">
    <w:name w:val="Hyperlink"/>
    <w:basedOn w:val="Liguvaikefont"/>
    <w:uiPriority w:val="99"/>
    <w:unhideWhenUsed/>
    <w:rsid w:val="00EC77DE"/>
    <w:rPr>
      <w:color w:val="0563C1" w:themeColor="hyperlink"/>
      <w:u w:val="single"/>
    </w:rPr>
  </w:style>
  <w:style w:type="character" w:styleId="Kommentaariviide">
    <w:name w:val="annotation reference"/>
    <w:basedOn w:val="Liguvaikefont"/>
    <w:uiPriority w:val="99"/>
    <w:semiHidden/>
    <w:unhideWhenUsed/>
    <w:rsid w:val="005870D4"/>
    <w:rPr>
      <w:sz w:val="16"/>
      <w:szCs w:val="16"/>
    </w:rPr>
  </w:style>
  <w:style w:type="paragraph" w:styleId="Kommentaaritekst">
    <w:name w:val="annotation text"/>
    <w:basedOn w:val="Normaallaad"/>
    <w:link w:val="KommentaaritekstMrk"/>
    <w:uiPriority w:val="99"/>
    <w:unhideWhenUsed/>
    <w:rsid w:val="005870D4"/>
    <w:rPr>
      <w:sz w:val="20"/>
      <w:szCs w:val="20"/>
    </w:rPr>
  </w:style>
  <w:style w:type="character" w:customStyle="1" w:styleId="KommentaaritekstMrk">
    <w:name w:val="Kommentaari tekst Märk"/>
    <w:basedOn w:val="Liguvaikefont"/>
    <w:link w:val="Kommentaaritekst"/>
    <w:uiPriority w:val="99"/>
    <w:rsid w:val="005870D4"/>
    <w:rPr>
      <w:rFonts w:ascii="Times New Roman" w:eastAsia="Times New Roman" w:hAnsi="Times New Roman" w:cs="Times New Roman"/>
      <w:sz w:val="20"/>
      <w:szCs w:val="20"/>
      <w:lang w:val="et-EE" w:eastAsia="et-EE"/>
    </w:rPr>
  </w:style>
  <w:style w:type="paragraph" w:styleId="Jutumullitekst">
    <w:name w:val="Balloon Text"/>
    <w:basedOn w:val="Normaallaad"/>
    <w:link w:val="JutumullitekstMrk"/>
    <w:uiPriority w:val="99"/>
    <w:semiHidden/>
    <w:unhideWhenUsed/>
    <w:rsid w:val="005870D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870D4"/>
    <w:rPr>
      <w:rFonts w:ascii="Segoe UI" w:eastAsia="Times New Roman" w:hAnsi="Segoe UI" w:cs="Segoe UI"/>
      <w:sz w:val="18"/>
      <w:szCs w:val="18"/>
      <w:lang w:val="et-EE" w:eastAsia="et-EE"/>
    </w:rPr>
  </w:style>
  <w:style w:type="paragraph" w:styleId="Kommentaariteema">
    <w:name w:val="annotation subject"/>
    <w:basedOn w:val="Kommentaaritekst"/>
    <w:next w:val="Kommentaaritekst"/>
    <w:link w:val="KommentaariteemaMrk"/>
    <w:uiPriority w:val="99"/>
    <w:semiHidden/>
    <w:unhideWhenUsed/>
    <w:rsid w:val="0001235F"/>
    <w:rPr>
      <w:b/>
      <w:bCs/>
    </w:rPr>
  </w:style>
  <w:style w:type="character" w:customStyle="1" w:styleId="KommentaariteemaMrk">
    <w:name w:val="Kommentaari teema Märk"/>
    <w:basedOn w:val="KommentaaritekstMrk"/>
    <w:link w:val="Kommentaariteema"/>
    <w:uiPriority w:val="99"/>
    <w:semiHidden/>
    <w:rsid w:val="0001235F"/>
    <w:rPr>
      <w:rFonts w:ascii="Times New Roman" w:eastAsia="Times New Roman" w:hAnsi="Times New Roman" w:cs="Times New Roman"/>
      <w:b/>
      <w:bCs/>
      <w:sz w:val="20"/>
      <w:szCs w:val="20"/>
      <w:lang w:val="et-EE" w:eastAsia="et-EE"/>
    </w:rPr>
  </w:style>
  <w:style w:type="paragraph" w:styleId="Pis">
    <w:name w:val="header"/>
    <w:basedOn w:val="Normaallaad"/>
    <w:link w:val="PisMrk"/>
    <w:uiPriority w:val="99"/>
    <w:unhideWhenUsed/>
    <w:rsid w:val="00416D56"/>
    <w:pPr>
      <w:tabs>
        <w:tab w:val="center" w:pos="4513"/>
        <w:tab w:val="right" w:pos="9026"/>
      </w:tabs>
    </w:pPr>
  </w:style>
  <w:style w:type="character" w:customStyle="1" w:styleId="PisMrk">
    <w:name w:val="Päis Märk"/>
    <w:basedOn w:val="Liguvaikefont"/>
    <w:link w:val="Pis"/>
    <w:uiPriority w:val="99"/>
    <w:rsid w:val="00416D56"/>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416D56"/>
    <w:pPr>
      <w:tabs>
        <w:tab w:val="center" w:pos="4513"/>
        <w:tab w:val="right" w:pos="9026"/>
      </w:tabs>
    </w:pPr>
  </w:style>
  <w:style w:type="character" w:customStyle="1" w:styleId="JalusMrk">
    <w:name w:val="Jalus Märk"/>
    <w:basedOn w:val="Liguvaikefont"/>
    <w:link w:val="Jalus"/>
    <w:uiPriority w:val="99"/>
    <w:rsid w:val="00416D56"/>
    <w:rPr>
      <w:rFonts w:ascii="Times New Roman" w:eastAsia="Times New Roman" w:hAnsi="Times New Roman" w:cs="Times New Roman"/>
      <w:sz w:val="24"/>
      <w:szCs w:val="24"/>
      <w:lang w:val="et-EE" w:eastAsia="et-EE"/>
    </w:rPr>
  </w:style>
  <w:style w:type="character" w:styleId="Lahendamatamainimine">
    <w:name w:val="Unresolved Mention"/>
    <w:basedOn w:val="Liguvaikefont"/>
    <w:uiPriority w:val="99"/>
    <w:semiHidden/>
    <w:unhideWhenUsed/>
    <w:rsid w:val="00F5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9991">
      <w:bodyDiv w:val="1"/>
      <w:marLeft w:val="0"/>
      <w:marRight w:val="0"/>
      <w:marTop w:val="0"/>
      <w:marBottom w:val="0"/>
      <w:divBdr>
        <w:top w:val="none" w:sz="0" w:space="0" w:color="auto"/>
        <w:left w:val="none" w:sz="0" w:space="0" w:color="auto"/>
        <w:bottom w:val="none" w:sz="0" w:space="0" w:color="auto"/>
        <w:right w:val="none" w:sz="0" w:space="0" w:color="auto"/>
      </w:divBdr>
    </w:div>
    <w:div w:id="704716909">
      <w:bodyDiv w:val="1"/>
      <w:marLeft w:val="0"/>
      <w:marRight w:val="0"/>
      <w:marTop w:val="0"/>
      <w:marBottom w:val="0"/>
      <w:divBdr>
        <w:top w:val="none" w:sz="0" w:space="0" w:color="auto"/>
        <w:left w:val="none" w:sz="0" w:space="0" w:color="auto"/>
        <w:bottom w:val="none" w:sz="0" w:space="0" w:color="auto"/>
        <w:right w:val="none" w:sz="0" w:space="0" w:color="auto"/>
      </w:divBdr>
    </w:div>
    <w:div w:id="1129517593">
      <w:bodyDiv w:val="1"/>
      <w:marLeft w:val="0"/>
      <w:marRight w:val="0"/>
      <w:marTop w:val="0"/>
      <w:marBottom w:val="0"/>
      <w:divBdr>
        <w:top w:val="none" w:sz="0" w:space="0" w:color="auto"/>
        <w:left w:val="none" w:sz="0" w:space="0" w:color="auto"/>
        <w:bottom w:val="none" w:sz="0" w:space="0" w:color="auto"/>
        <w:right w:val="none" w:sz="0" w:space="0" w:color="auto"/>
      </w:divBdr>
    </w:div>
    <w:div w:id="1552378307">
      <w:bodyDiv w:val="1"/>
      <w:marLeft w:val="0"/>
      <w:marRight w:val="0"/>
      <w:marTop w:val="0"/>
      <w:marBottom w:val="0"/>
      <w:divBdr>
        <w:top w:val="none" w:sz="0" w:space="0" w:color="auto"/>
        <w:left w:val="none" w:sz="0" w:space="0" w:color="auto"/>
        <w:bottom w:val="none" w:sz="0" w:space="0" w:color="auto"/>
        <w:right w:val="none" w:sz="0" w:space="0" w:color="auto"/>
      </w:divBdr>
    </w:div>
    <w:div w:id="1914580826">
      <w:bodyDiv w:val="1"/>
      <w:marLeft w:val="0"/>
      <w:marRight w:val="0"/>
      <w:marTop w:val="0"/>
      <w:marBottom w:val="0"/>
      <w:divBdr>
        <w:top w:val="none" w:sz="0" w:space="0" w:color="auto"/>
        <w:left w:val="none" w:sz="0" w:space="0" w:color="auto"/>
        <w:bottom w:val="none" w:sz="0" w:space="0" w:color="auto"/>
        <w:right w:val="none" w:sz="0" w:space="0" w:color="auto"/>
      </w:divBdr>
    </w:div>
    <w:div w:id="1952668997">
      <w:bodyDiv w:val="1"/>
      <w:marLeft w:val="0"/>
      <w:marRight w:val="0"/>
      <w:marTop w:val="0"/>
      <w:marBottom w:val="0"/>
      <w:divBdr>
        <w:top w:val="none" w:sz="0" w:space="0" w:color="auto"/>
        <w:left w:val="none" w:sz="0" w:space="0" w:color="auto"/>
        <w:bottom w:val="none" w:sz="0" w:space="0" w:color="auto"/>
        <w:right w:val="none" w:sz="0" w:space="0" w:color="auto"/>
      </w:divBdr>
    </w:div>
    <w:div w:id="21057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gla@jmh.ee" TargetMode="External"/><Relationship Id="rId3" Type="http://schemas.openxmlformats.org/officeDocument/2006/relationships/settings" Target="settings.xml"/><Relationship Id="rId7" Type="http://schemas.openxmlformats.org/officeDocument/2006/relationships/hyperlink" Target="mailto:haigla@jmh.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m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1035</Words>
  <Characters>6004</Characters>
  <Application>Microsoft Office Word</Application>
  <DocSecurity>0</DocSecurity>
  <Lines>50</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SC1511</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Reinla</dc:creator>
  <cp:keywords/>
  <dc:description/>
  <cp:lastModifiedBy>Asta Reinla</cp:lastModifiedBy>
  <cp:revision>9</cp:revision>
  <dcterms:created xsi:type="dcterms:W3CDTF">2026-03-20T06:56:00Z</dcterms:created>
  <dcterms:modified xsi:type="dcterms:W3CDTF">2026-03-23T13:38:00Z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2026-01-08T06:49:24Z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6d7dc34e-7270-4c4c-be92-cc7875e02142</vt:lpwstr>
  </property>
  <property fmtid="{D5CDD505-2E9C-101B-9397-08002B2CF9AE}" pid="7" name="MSIP_Label_defa4170-0d19-0005-0004-bc88714345d2_ActionId">
    <vt:lpwstr>bb8fa8a8-97f2-4f32-8fb5-10179f62bda2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